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D5" w:rsidRDefault="002354B0" w:rsidP="000024D5">
      <w:pPr>
        <w:jc w:val="center"/>
        <w:rPr>
          <w:rFonts w:asciiTheme="majorBidi" w:hAnsiTheme="majorBidi" w:cstheme="majorBidi"/>
          <w:b/>
          <w:bCs/>
          <w:sz w:val="36"/>
          <w:szCs w:val="36"/>
        </w:rPr>
      </w:pPr>
      <w:r>
        <w:rPr>
          <w:rFonts w:asciiTheme="majorBidi" w:hAnsiTheme="majorBidi" w:cstheme="majorBidi"/>
          <w:b/>
          <w:bCs/>
          <w:sz w:val="36"/>
          <w:szCs w:val="36"/>
        </w:rPr>
        <w:t>US Banks’ B</w:t>
      </w:r>
      <w:r w:rsidR="0013518F">
        <w:rPr>
          <w:rFonts w:asciiTheme="majorBidi" w:hAnsiTheme="majorBidi" w:cstheme="majorBidi"/>
          <w:b/>
          <w:bCs/>
          <w:sz w:val="36"/>
          <w:szCs w:val="36"/>
        </w:rPr>
        <w:t xml:space="preserve">ehavior </w:t>
      </w:r>
      <w:r w:rsidR="0013518F" w:rsidRPr="00120D5C">
        <w:rPr>
          <w:rFonts w:asciiTheme="majorBidi" w:hAnsiTheme="majorBidi" w:cstheme="majorBidi"/>
          <w:b/>
          <w:bCs/>
          <w:sz w:val="36"/>
          <w:szCs w:val="36"/>
        </w:rPr>
        <w:t>since</w:t>
      </w:r>
      <w:r w:rsidR="0013518F">
        <w:rPr>
          <w:rFonts w:asciiTheme="majorBidi" w:hAnsiTheme="majorBidi" w:cstheme="majorBidi"/>
          <w:b/>
          <w:bCs/>
          <w:sz w:val="36"/>
          <w:szCs w:val="36"/>
        </w:rPr>
        <w:t xml:space="preserve"> Lehman’s Collapse, Ba</w:t>
      </w:r>
      <w:r w:rsidR="0005131E">
        <w:rPr>
          <w:rFonts w:asciiTheme="majorBidi" w:hAnsiTheme="majorBidi" w:cstheme="majorBidi"/>
          <w:b/>
          <w:bCs/>
          <w:sz w:val="36"/>
          <w:szCs w:val="36"/>
        </w:rPr>
        <w:t>ilout Uncertainty and the Choice</w:t>
      </w:r>
      <w:r w:rsidR="0013518F">
        <w:rPr>
          <w:rFonts w:asciiTheme="majorBidi" w:hAnsiTheme="majorBidi" w:cstheme="majorBidi"/>
          <w:b/>
          <w:bCs/>
          <w:sz w:val="36"/>
          <w:szCs w:val="36"/>
        </w:rPr>
        <w:t xml:space="preserve"> of Exit Strategies</w:t>
      </w:r>
      <w:r w:rsidR="00C6182A">
        <w:rPr>
          <w:rFonts w:asciiTheme="majorBidi" w:hAnsiTheme="majorBidi" w:cstheme="majorBidi"/>
          <w:b/>
          <w:bCs/>
          <w:sz w:val="36"/>
          <w:szCs w:val="36"/>
        </w:rPr>
        <w:t xml:space="preserve"> </w:t>
      </w:r>
    </w:p>
    <w:p w:rsidR="00912ECC" w:rsidRPr="0013518F" w:rsidRDefault="00912ECC" w:rsidP="000024D5">
      <w:pPr>
        <w:jc w:val="center"/>
        <w:rPr>
          <w:rFonts w:asciiTheme="majorBidi" w:hAnsiTheme="majorBidi" w:cstheme="majorBidi"/>
          <w:b/>
          <w:bCs/>
          <w:sz w:val="36"/>
          <w:szCs w:val="36"/>
        </w:rPr>
      </w:pPr>
      <w:r w:rsidRPr="00912ECC">
        <w:rPr>
          <w:rFonts w:asciiTheme="majorBidi" w:hAnsiTheme="majorBidi" w:cstheme="majorBidi"/>
          <w:b/>
          <w:bCs/>
          <w:sz w:val="28"/>
          <w:szCs w:val="28"/>
        </w:rPr>
        <w:t>Alex Cukierman</w:t>
      </w:r>
      <w:r w:rsidR="000D5CC9">
        <w:rPr>
          <w:rStyle w:val="FootnoteReference"/>
          <w:rFonts w:asciiTheme="majorBidi" w:hAnsiTheme="majorBidi" w:cstheme="majorBidi"/>
          <w:b/>
          <w:bCs/>
          <w:sz w:val="28"/>
          <w:szCs w:val="28"/>
        </w:rPr>
        <w:footnoteReference w:id="1"/>
      </w:r>
    </w:p>
    <w:p w:rsidR="00120D5C" w:rsidRDefault="0005131E" w:rsidP="00A44A86">
      <w:pPr>
        <w:jc w:val="center"/>
        <w:rPr>
          <w:rFonts w:asciiTheme="majorBidi" w:hAnsiTheme="majorBidi" w:cstheme="majorBidi"/>
          <w:sz w:val="28"/>
          <w:szCs w:val="28"/>
        </w:rPr>
      </w:pPr>
      <w:r>
        <w:rPr>
          <w:rFonts w:asciiTheme="majorBidi" w:hAnsiTheme="majorBidi" w:cstheme="majorBidi"/>
          <w:sz w:val="28"/>
          <w:szCs w:val="28"/>
        </w:rPr>
        <w:t>October 30</w:t>
      </w:r>
      <w:r w:rsidR="00554BB7">
        <w:rPr>
          <w:rFonts w:asciiTheme="majorBidi" w:hAnsiTheme="majorBidi" w:cstheme="majorBidi"/>
          <w:sz w:val="28"/>
          <w:szCs w:val="28"/>
        </w:rPr>
        <w:t xml:space="preserve"> 2015</w:t>
      </w:r>
    </w:p>
    <w:p w:rsidR="00676D71" w:rsidRDefault="00EE4D89" w:rsidP="00676D71">
      <w:p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4C262D">
        <w:rPr>
          <w:rFonts w:asciiTheme="majorBidi" w:hAnsiTheme="majorBidi" w:cstheme="majorBidi"/>
          <w:sz w:val="24"/>
          <w:szCs w:val="24"/>
        </w:rPr>
        <w:t xml:space="preserve"> </w:t>
      </w:r>
      <w:r>
        <w:rPr>
          <w:rFonts w:asciiTheme="majorBidi" w:hAnsiTheme="majorBidi" w:cstheme="majorBidi"/>
          <w:sz w:val="24"/>
          <w:szCs w:val="24"/>
        </w:rPr>
        <w:t>ABSTRACT</w:t>
      </w:r>
    </w:p>
    <w:p w:rsidR="00820EEF" w:rsidRDefault="00676D71" w:rsidP="00676D71">
      <w:pPr>
        <w:spacing w:line="240" w:lineRule="auto"/>
        <w:rPr>
          <w:rFonts w:asciiTheme="majorBidi" w:hAnsiTheme="majorBidi" w:cstheme="majorBidi"/>
        </w:rPr>
      </w:pPr>
      <w:r>
        <w:rPr>
          <w:rFonts w:asciiTheme="majorBidi" w:hAnsiTheme="majorBidi" w:cstheme="majorBidi"/>
          <w:sz w:val="24"/>
          <w:szCs w:val="24"/>
        </w:rPr>
        <w:tab/>
      </w:r>
      <w:r w:rsidR="00EE4D89" w:rsidRPr="00DA26C2">
        <w:rPr>
          <w:rFonts w:asciiTheme="majorBidi" w:hAnsiTheme="majorBidi" w:cstheme="majorBidi"/>
        </w:rPr>
        <w:t>This paper documents a dramatic post-Lehman slowdown in the rate of growth of US banking c</w:t>
      </w:r>
      <w:r w:rsidR="00DF03C2">
        <w:rPr>
          <w:rFonts w:asciiTheme="majorBidi" w:hAnsiTheme="majorBidi" w:cstheme="majorBidi"/>
        </w:rPr>
        <w:t>redit</w:t>
      </w:r>
      <w:r w:rsidR="00EE4D89" w:rsidRPr="00DA26C2">
        <w:rPr>
          <w:rFonts w:asciiTheme="majorBidi" w:hAnsiTheme="majorBidi" w:cstheme="majorBidi"/>
        </w:rPr>
        <w:t xml:space="preserve"> in spite of a huge accumulation of banks’ reserves at the Fed. Appealing to results in a theoretical background paper the </w:t>
      </w:r>
      <w:r w:rsidR="00E66CD3">
        <w:rPr>
          <w:rFonts w:asciiTheme="majorBidi" w:hAnsiTheme="majorBidi" w:cstheme="majorBidi"/>
        </w:rPr>
        <w:t xml:space="preserve">banking </w:t>
      </w:r>
      <w:r w:rsidR="00EE4D89" w:rsidRPr="00DA26C2">
        <w:rPr>
          <w:rFonts w:asciiTheme="majorBidi" w:hAnsiTheme="majorBidi" w:cstheme="majorBidi"/>
        </w:rPr>
        <w:t>credit arrest in the immediate aftermath of Lehman’s collapse is ex</w:t>
      </w:r>
      <w:r w:rsidR="00E66CD3">
        <w:rPr>
          <w:rFonts w:asciiTheme="majorBidi" w:hAnsiTheme="majorBidi" w:cstheme="majorBidi"/>
        </w:rPr>
        <w:t>plained in terms of</w:t>
      </w:r>
      <w:r w:rsidR="00EE4D89" w:rsidRPr="00DA26C2">
        <w:rPr>
          <w:rFonts w:asciiTheme="majorBidi" w:hAnsiTheme="majorBidi" w:cstheme="majorBidi"/>
        </w:rPr>
        <w:t xml:space="preserve"> an increase in bailout uncertainty triggered by the Lehman event. The strong persistence of this phenomenon is explained in terms of a </w:t>
      </w:r>
      <w:r w:rsidR="00E66CD3">
        <w:rPr>
          <w:rFonts w:asciiTheme="majorBidi" w:hAnsiTheme="majorBidi" w:cstheme="majorBidi"/>
        </w:rPr>
        <w:t>crisis induced toughening of banking regulation along with a persistent increase</w:t>
      </w:r>
      <w:r w:rsidR="00EE4D89" w:rsidRPr="00DA26C2">
        <w:rPr>
          <w:rFonts w:asciiTheme="majorBidi" w:hAnsiTheme="majorBidi" w:cstheme="majorBidi"/>
        </w:rPr>
        <w:t xml:space="preserve"> </w:t>
      </w:r>
      <w:r w:rsidR="00E66CD3">
        <w:rPr>
          <w:rFonts w:asciiTheme="majorBidi" w:hAnsiTheme="majorBidi" w:cstheme="majorBidi"/>
        </w:rPr>
        <w:t xml:space="preserve">in </w:t>
      </w:r>
      <w:r w:rsidR="00EE4D89" w:rsidRPr="00DA26C2">
        <w:rPr>
          <w:rFonts w:asciiTheme="majorBidi" w:hAnsiTheme="majorBidi" w:cstheme="majorBidi"/>
        </w:rPr>
        <w:t xml:space="preserve">probabilistic awareness to low bailout probabilities (or, equivalently an increase in uncertainty aversion) within a multiple </w:t>
      </w:r>
      <w:proofErr w:type="gramStart"/>
      <w:r w:rsidR="00EE4D89" w:rsidRPr="00DA26C2">
        <w:rPr>
          <w:rFonts w:asciiTheme="majorBidi" w:hAnsiTheme="majorBidi" w:cstheme="majorBidi"/>
        </w:rPr>
        <w:t>priors</w:t>
      </w:r>
      <w:proofErr w:type="gramEnd"/>
      <w:r w:rsidR="00EE4D89" w:rsidRPr="00DA26C2">
        <w:rPr>
          <w:rFonts w:asciiTheme="majorBidi" w:hAnsiTheme="majorBidi" w:cstheme="majorBidi"/>
        </w:rPr>
        <w:t xml:space="preserve"> framework. </w:t>
      </w:r>
      <w:r w:rsidR="00E66CD3">
        <w:rPr>
          <w:rFonts w:asciiTheme="majorBidi" w:hAnsiTheme="majorBidi" w:cstheme="majorBidi"/>
        </w:rPr>
        <w:t xml:space="preserve">The paper also documents a dramatic decrease in </w:t>
      </w:r>
      <w:r w:rsidR="002077DE">
        <w:rPr>
          <w:rFonts w:asciiTheme="majorBidi" w:hAnsiTheme="majorBidi" w:cstheme="majorBidi"/>
        </w:rPr>
        <w:t xml:space="preserve">total </w:t>
      </w:r>
      <w:r w:rsidR="00E66CD3">
        <w:rPr>
          <w:rFonts w:asciiTheme="majorBidi" w:hAnsiTheme="majorBidi" w:cstheme="majorBidi"/>
        </w:rPr>
        <w:t xml:space="preserve">net new </w:t>
      </w:r>
      <w:r w:rsidR="002077DE">
        <w:rPr>
          <w:rFonts w:asciiTheme="majorBidi" w:hAnsiTheme="majorBidi" w:cstheme="majorBidi"/>
        </w:rPr>
        <w:t>(</w:t>
      </w:r>
      <w:proofErr w:type="spellStart"/>
      <w:r w:rsidR="002077DE">
        <w:rPr>
          <w:rFonts w:asciiTheme="majorBidi" w:hAnsiTheme="majorBidi" w:cstheme="majorBidi"/>
        </w:rPr>
        <w:t>non treasury</w:t>
      </w:r>
      <w:proofErr w:type="spellEnd"/>
      <w:r w:rsidR="002077DE">
        <w:rPr>
          <w:rFonts w:asciiTheme="majorBidi" w:hAnsiTheme="majorBidi" w:cstheme="majorBidi"/>
        </w:rPr>
        <w:t xml:space="preserve">) </w:t>
      </w:r>
      <w:r w:rsidR="00E66CD3">
        <w:rPr>
          <w:rFonts w:asciiTheme="majorBidi" w:hAnsiTheme="majorBidi" w:cstheme="majorBidi"/>
        </w:rPr>
        <w:t xml:space="preserve">bond issues due mainly to the disappearance of mortgage related bonds along with an increase in net new issues of corporate bonds. </w:t>
      </w:r>
      <w:r w:rsidR="002077DE">
        <w:rPr>
          <w:rFonts w:asciiTheme="majorBidi" w:hAnsiTheme="majorBidi" w:cstheme="majorBidi"/>
        </w:rPr>
        <w:t>Those phenomena explain</w:t>
      </w:r>
      <w:r w:rsidR="00EE4D89" w:rsidRPr="00DA26C2">
        <w:rPr>
          <w:rFonts w:asciiTheme="majorBidi" w:hAnsiTheme="majorBidi" w:cstheme="majorBidi"/>
        </w:rPr>
        <w:t xml:space="preserve"> why, in spite of a huge expansion of the monetary </w:t>
      </w:r>
      <w:r w:rsidR="002077DE">
        <w:rPr>
          <w:rFonts w:asciiTheme="majorBidi" w:hAnsiTheme="majorBidi" w:cstheme="majorBidi"/>
        </w:rPr>
        <w:t xml:space="preserve">base, inflation has been subdued </w:t>
      </w:r>
      <w:r w:rsidR="00EE4D89" w:rsidRPr="00DA26C2">
        <w:rPr>
          <w:rFonts w:asciiTheme="majorBidi" w:hAnsiTheme="majorBidi" w:cstheme="majorBidi"/>
        </w:rPr>
        <w:t xml:space="preserve">since Lehman’s collapse. </w:t>
      </w:r>
    </w:p>
    <w:p w:rsidR="00282239" w:rsidRPr="00A13E24" w:rsidRDefault="00820EEF" w:rsidP="008D471C">
      <w:pPr>
        <w:spacing w:line="240" w:lineRule="auto"/>
        <w:rPr>
          <w:rFonts w:asciiTheme="majorBidi" w:hAnsiTheme="majorBidi" w:cstheme="majorBidi"/>
        </w:rPr>
      </w:pPr>
      <w:r>
        <w:rPr>
          <w:rFonts w:asciiTheme="majorBidi" w:hAnsiTheme="majorBidi" w:cstheme="majorBidi"/>
        </w:rPr>
        <w:tab/>
        <w:t>Since the Lehman’s event</w:t>
      </w:r>
      <w:r w:rsidR="00EE4D89" w:rsidRPr="00DA26C2">
        <w:rPr>
          <w:rFonts w:asciiTheme="majorBidi" w:hAnsiTheme="majorBidi" w:cstheme="majorBidi"/>
        </w:rPr>
        <w:t xml:space="preserve"> </w:t>
      </w:r>
      <w:proofErr w:type="spellStart"/>
      <w:r w:rsidR="00EE4D89" w:rsidRPr="00DA26C2">
        <w:rPr>
          <w:rFonts w:asciiTheme="majorBidi" w:hAnsiTheme="majorBidi" w:cstheme="majorBidi"/>
        </w:rPr>
        <w:t>cummulative</w:t>
      </w:r>
      <w:proofErr w:type="spellEnd"/>
      <w:r w:rsidR="00EE4D89" w:rsidRPr="00DA26C2">
        <w:rPr>
          <w:rFonts w:asciiTheme="majorBidi" w:hAnsiTheme="majorBidi" w:cstheme="majorBidi"/>
        </w:rPr>
        <w:t xml:space="preserve"> base money in the US expanded at a rate similar to the cumulative rate of increase of base money through more than half of the post WWI German hyperinflation</w:t>
      </w:r>
      <w:r>
        <w:rPr>
          <w:rFonts w:asciiTheme="majorBidi" w:hAnsiTheme="majorBidi" w:cstheme="majorBidi"/>
        </w:rPr>
        <w:t>. During the six years b</w:t>
      </w:r>
      <w:r w:rsidR="00EE4D89" w:rsidRPr="00DA26C2">
        <w:rPr>
          <w:rFonts w:asciiTheme="majorBidi" w:hAnsiTheme="majorBidi" w:cstheme="majorBidi"/>
        </w:rPr>
        <w:t xml:space="preserve">etween September 2008 </w:t>
      </w:r>
      <w:r w:rsidR="00944D3E" w:rsidRPr="00DA26C2">
        <w:rPr>
          <w:rFonts w:asciiTheme="majorBidi" w:hAnsiTheme="majorBidi" w:cstheme="majorBidi"/>
        </w:rPr>
        <w:t>and September 2014</w:t>
      </w:r>
      <w:r w:rsidR="00EE4D89" w:rsidRPr="00DA26C2">
        <w:rPr>
          <w:rFonts w:asciiTheme="majorBidi" w:hAnsiTheme="majorBidi" w:cstheme="majorBidi"/>
        </w:rPr>
        <w:t xml:space="preserve"> cumulative inflatio</w:t>
      </w:r>
      <w:r w:rsidR="00944D3E" w:rsidRPr="00DA26C2">
        <w:rPr>
          <w:rFonts w:asciiTheme="majorBidi" w:hAnsiTheme="majorBidi" w:cstheme="majorBidi"/>
        </w:rPr>
        <w:t>n in the US has been a bit over</w:t>
      </w:r>
      <w:r w:rsidR="00EE4D89" w:rsidRPr="00DA26C2">
        <w:rPr>
          <w:rFonts w:asciiTheme="majorBidi" w:hAnsiTheme="majorBidi" w:cstheme="majorBidi"/>
        </w:rPr>
        <w:t xml:space="preserve"> </w:t>
      </w:r>
      <w:r w:rsidR="00944D3E" w:rsidRPr="00820EEF">
        <w:rPr>
          <w:rFonts w:asciiTheme="majorBidi" w:hAnsiTheme="majorBidi" w:cstheme="majorBidi"/>
          <w:b/>
          <w:bCs/>
        </w:rPr>
        <w:t xml:space="preserve">twelve </w:t>
      </w:r>
      <w:r w:rsidR="00EE4D89" w:rsidRPr="00820EEF">
        <w:rPr>
          <w:rFonts w:asciiTheme="majorBidi" w:hAnsiTheme="majorBidi" w:cstheme="majorBidi"/>
          <w:b/>
          <w:bCs/>
        </w:rPr>
        <w:t>percent</w:t>
      </w:r>
      <w:r w:rsidR="00EE4D89" w:rsidRPr="00DA26C2">
        <w:rPr>
          <w:rFonts w:asciiTheme="majorBidi" w:hAnsiTheme="majorBidi" w:cstheme="majorBidi"/>
        </w:rPr>
        <w:t xml:space="preserve"> while the cumulative rate of inflation following the </w:t>
      </w:r>
      <w:r w:rsidR="00EE4D89" w:rsidRPr="00820EEF">
        <w:rPr>
          <w:rFonts w:asciiTheme="majorBidi" w:hAnsiTheme="majorBidi" w:cstheme="majorBidi"/>
          <w:b/>
          <w:bCs/>
        </w:rPr>
        <w:t>same base money expan</w:t>
      </w:r>
      <w:r w:rsidR="00944D3E" w:rsidRPr="00820EEF">
        <w:rPr>
          <w:rFonts w:asciiTheme="majorBidi" w:hAnsiTheme="majorBidi" w:cstheme="majorBidi"/>
          <w:b/>
          <w:bCs/>
        </w:rPr>
        <w:t xml:space="preserve">sion </w:t>
      </w:r>
      <w:r w:rsidR="00944D3E" w:rsidRPr="00DA26C2">
        <w:rPr>
          <w:rFonts w:asciiTheme="majorBidi" w:hAnsiTheme="majorBidi" w:cstheme="majorBidi"/>
        </w:rPr>
        <w:t xml:space="preserve">in Germany led to a </w:t>
      </w:r>
      <w:r w:rsidR="00944D3E" w:rsidRPr="00820EEF">
        <w:rPr>
          <w:rFonts w:asciiTheme="majorBidi" w:hAnsiTheme="majorBidi" w:cstheme="majorBidi"/>
          <w:b/>
          <w:bCs/>
        </w:rPr>
        <w:t>twenty four</w:t>
      </w:r>
      <w:r w:rsidR="00EE4D89" w:rsidRPr="00820EEF">
        <w:rPr>
          <w:rFonts w:asciiTheme="majorBidi" w:hAnsiTheme="majorBidi" w:cstheme="majorBidi"/>
          <w:b/>
          <w:bCs/>
        </w:rPr>
        <w:t>-fold</w:t>
      </w:r>
      <w:r w:rsidR="00EE4D89" w:rsidRPr="00DA26C2">
        <w:rPr>
          <w:rFonts w:asciiTheme="majorBidi" w:hAnsiTheme="majorBidi" w:cstheme="majorBidi"/>
        </w:rPr>
        <w:t xml:space="preserve"> cumulative increase in the price level. An important reason for this dramatic difference is that in the US today the Fed’s high powered monetary expansion is not translated into credit and new purchases. By contrast in post WWI Germany the monetary expansion was immediat</w:t>
      </w:r>
      <w:r>
        <w:rPr>
          <w:rFonts w:asciiTheme="majorBidi" w:hAnsiTheme="majorBidi" w:cstheme="majorBidi"/>
        </w:rPr>
        <w:t>e</w:t>
      </w:r>
      <w:r w:rsidR="00EE4D89" w:rsidRPr="00DA26C2">
        <w:rPr>
          <w:rFonts w:asciiTheme="majorBidi" w:hAnsiTheme="majorBidi" w:cstheme="majorBidi"/>
        </w:rPr>
        <w:t>ly used by government to purchase good</w:t>
      </w:r>
      <w:r w:rsidR="005C7BC6">
        <w:rPr>
          <w:rFonts w:asciiTheme="majorBidi" w:hAnsiTheme="majorBidi" w:cstheme="majorBidi"/>
        </w:rPr>
        <w:t>s and services. One lesson from this comparison is</w:t>
      </w:r>
      <w:r w:rsidR="008D471C">
        <w:rPr>
          <w:rFonts w:asciiTheme="majorBidi" w:hAnsiTheme="majorBidi" w:cstheme="majorBidi"/>
        </w:rPr>
        <w:t xml:space="preserve"> that the current risks of inflation are </w:t>
      </w:r>
      <w:r w:rsidR="00EF593D">
        <w:rPr>
          <w:rFonts w:asciiTheme="majorBidi" w:hAnsiTheme="majorBidi" w:cstheme="majorBidi"/>
        </w:rPr>
        <w:t xml:space="preserve">very small. The penultimate section of the paper discusses alternative exit strategies as well as </w:t>
      </w:r>
      <w:r w:rsidR="005C7BC6">
        <w:rPr>
          <w:rFonts w:asciiTheme="majorBidi" w:hAnsiTheme="majorBidi" w:cstheme="majorBidi"/>
        </w:rPr>
        <w:t xml:space="preserve">various </w:t>
      </w:r>
      <w:r w:rsidR="00EF593D">
        <w:rPr>
          <w:rFonts w:asciiTheme="majorBidi" w:hAnsiTheme="majorBidi" w:cstheme="majorBidi"/>
        </w:rPr>
        <w:t>tape</w:t>
      </w:r>
      <w:r w:rsidR="006425FE">
        <w:rPr>
          <w:rFonts w:asciiTheme="majorBidi" w:hAnsiTheme="majorBidi" w:cstheme="majorBidi"/>
        </w:rPr>
        <w:t xml:space="preserve">ring </w:t>
      </w:r>
      <w:bookmarkStart w:id="0" w:name="_GoBack"/>
      <w:bookmarkEnd w:id="0"/>
      <w:r w:rsidR="00EF593D">
        <w:rPr>
          <w:rFonts w:asciiTheme="majorBidi" w:hAnsiTheme="majorBidi" w:cstheme="majorBidi"/>
        </w:rPr>
        <w:t xml:space="preserve">triggers. </w:t>
      </w:r>
    </w:p>
    <w:p w:rsidR="00C01C32" w:rsidRDefault="00C01C32" w:rsidP="003F10CF">
      <w:pPr>
        <w:pStyle w:val="ListParagraph"/>
        <w:ind w:left="644"/>
        <w:rPr>
          <w:rFonts w:asciiTheme="majorBidi" w:hAnsiTheme="majorBidi" w:cstheme="majorBidi"/>
          <w:b/>
          <w:bCs/>
          <w:sz w:val="28"/>
          <w:szCs w:val="28"/>
        </w:rPr>
      </w:pPr>
    </w:p>
    <w:p w:rsidR="00C01C32" w:rsidRDefault="00C01C32" w:rsidP="003F10CF">
      <w:pPr>
        <w:pStyle w:val="ListParagraph"/>
        <w:ind w:left="644"/>
        <w:rPr>
          <w:rFonts w:asciiTheme="majorBidi" w:hAnsiTheme="majorBidi" w:cstheme="majorBidi"/>
          <w:b/>
          <w:bCs/>
          <w:sz w:val="28"/>
          <w:szCs w:val="28"/>
        </w:rPr>
      </w:pPr>
    </w:p>
    <w:p w:rsidR="003F10CF" w:rsidRDefault="00120D5C" w:rsidP="003F10CF">
      <w:pPr>
        <w:pStyle w:val="ListParagraph"/>
        <w:ind w:left="644"/>
        <w:rPr>
          <w:rFonts w:asciiTheme="majorBidi" w:hAnsiTheme="majorBidi" w:cstheme="majorBidi"/>
          <w:sz w:val="24"/>
          <w:szCs w:val="24"/>
        </w:rPr>
      </w:pPr>
      <w:r>
        <w:rPr>
          <w:rFonts w:asciiTheme="majorBidi" w:hAnsiTheme="majorBidi" w:cstheme="majorBidi"/>
          <w:b/>
          <w:bCs/>
          <w:sz w:val="28"/>
          <w:szCs w:val="28"/>
        </w:rPr>
        <w:lastRenderedPageBreak/>
        <w:t>Introduction</w:t>
      </w:r>
    </w:p>
    <w:p w:rsidR="00282239" w:rsidRPr="00282239" w:rsidRDefault="00641145" w:rsidP="00A24B64">
      <w:pPr>
        <w:spacing w:line="358" w:lineRule="auto"/>
        <w:contextualSpacing/>
        <w:jc w:val="both"/>
        <w:rPr>
          <w:rFonts w:asciiTheme="majorBidi" w:hAnsiTheme="majorBidi" w:cstheme="majorBidi"/>
          <w:sz w:val="24"/>
          <w:szCs w:val="24"/>
        </w:rPr>
      </w:pPr>
      <w:r w:rsidRPr="00282239">
        <w:rPr>
          <w:rFonts w:asciiTheme="majorBidi" w:hAnsiTheme="majorBidi" w:cstheme="majorBidi"/>
          <w:sz w:val="24"/>
          <w:szCs w:val="24"/>
        </w:rPr>
        <w:tab/>
      </w:r>
      <w:r w:rsidR="00282239" w:rsidRPr="00282239">
        <w:rPr>
          <w:rFonts w:asciiTheme="majorBidi" w:hAnsiTheme="majorBidi" w:cstheme="majorBidi"/>
          <w:sz w:val="24"/>
          <w:szCs w:val="24"/>
        </w:rPr>
        <w:t xml:space="preserve">The collapse of Lehman Brothers in September 2008 along with the decision not to bail it out is probably the most traumatic financial event of the twenty first century. In the aftermath of the financial panic that </w:t>
      </w:r>
      <w:proofErr w:type="gramStart"/>
      <w:r w:rsidR="00282239" w:rsidRPr="00282239">
        <w:rPr>
          <w:rFonts w:asciiTheme="majorBidi" w:hAnsiTheme="majorBidi" w:cstheme="majorBidi"/>
          <w:sz w:val="24"/>
          <w:szCs w:val="24"/>
        </w:rPr>
        <w:t>ensued</w:t>
      </w:r>
      <w:proofErr w:type="gramEnd"/>
      <w:r w:rsidR="00282239" w:rsidRPr="00282239">
        <w:rPr>
          <w:rFonts w:asciiTheme="majorBidi" w:hAnsiTheme="majorBidi" w:cstheme="majorBidi"/>
          <w:sz w:val="24"/>
          <w:szCs w:val="24"/>
        </w:rPr>
        <w:t xml:space="preserve"> the Federal Reserve injected huge quantities of liquidity into the US economy. As a matter of fact the cumulative rate of base money growth during the six years following this event is similar to the rate of base money expansion through a bit more than half of the 1921-1923 well known German </w:t>
      </w:r>
      <w:proofErr w:type="gramStart"/>
      <w:r w:rsidR="00282239" w:rsidRPr="00282239">
        <w:rPr>
          <w:rFonts w:asciiTheme="majorBidi" w:hAnsiTheme="majorBidi" w:cstheme="majorBidi"/>
          <w:sz w:val="24"/>
          <w:szCs w:val="24"/>
        </w:rPr>
        <w:t>hyperinflation</w:t>
      </w:r>
      <w:proofErr w:type="gramEnd"/>
      <w:r w:rsidR="00282239" w:rsidRPr="00282239">
        <w:rPr>
          <w:rFonts w:asciiTheme="majorBidi" w:hAnsiTheme="majorBidi" w:cstheme="majorBidi"/>
          <w:sz w:val="24"/>
          <w:szCs w:val="24"/>
        </w:rPr>
        <w:t>. In Germany this resulted in a twenty four-fold increase in the price level. By contrast the cumulative rate of inflation in the US during the six years following Lehman’s collapse is a meager twelve percent.</w:t>
      </w:r>
    </w:p>
    <w:p w:rsidR="00282239" w:rsidRPr="00282239" w:rsidRDefault="00282239" w:rsidP="00A24B64">
      <w:pPr>
        <w:contextualSpacing/>
        <w:rPr>
          <w:rFonts w:asciiTheme="majorBidi" w:hAnsiTheme="majorBidi" w:cstheme="majorBidi"/>
          <w:sz w:val="24"/>
          <w:szCs w:val="24"/>
        </w:rPr>
      </w:pPr>
      <w:r w:rsidRPr="00282239">
        <w:rPr>
          <w:rFonts w:asciiTheme="majorBidi" w:hAnsiTheme="majorBidi" w:cstheme="majorBidi"/>
          <w:sz w:val="24"/>
          <w:szCs w:val="24"/>
        </w:rPr>
        <w:t xml:space="preserve">This dramatic difference in rates of inflation in the face of similar liquidity injections constitutes a challenge to the quantity theory of money and begs for an explanation. The paper argues (and documents the fact) that a substantial part of the explanation is due to the behavior of US banks that chose not to expand credit in spite of the fact that about two thirds of the Fed’s gigantic liquidity injections took the form of reserves accumulation at the Fed. </w:t>
      </w:r>
    </w:p>
    <w:p w:rsidR="00282239" w:rsidRPr="00282239" w:rsidRDefault="00282239" w:rsidP="004B67ED">
      <w:pPr>
        <w:contextualSpacing/>
        <w:rPr>
          <w:rFonts w:asciiTheme="majorBidi" w:hAnsiTheme="majorBidi" w:cstheme="majorBidi"/>
          <w:sz w:val="24"/>
          <w:szCs w:val="24"/>
        </w:rPr>
      </w:pPr>
      <w:r w:rsidRPr="00282239">
        <w:rPr>
          <w:rFonts w:asciiTheme="majorBidi" w:hAnsiTheme="majorBidi" w:cstheme="majorBidi"/>
          <w:sz w:val="24"/>
          <w:szCs w:val="24"/>
        </w:rPr>
        <w:t>More fundamentally the paper relates the behavior of banking credit during the first two years following the Lehman event to an increase in probabilistic awareness about the likelihood that the US government will not bailout the creditors of large delinquent finan</w:t>
      </w:r>
      <w:r w:rsidR="004A782E">
        <w:rPr>
          <w:rFonts w:asciiTheme="majorBidi" w:hAnsiTheme="majorBidi" w:cstheme="majorBidi"/>
          <w:sz w:val="24"/>
          <w:szCs w:val="24"/>
        </w:rPr>
        <w:t>cial institution in the future.</w:t>
      </w:r>
      <w:r w:rsidRPr="00282239">
        <w:rPr>
          <w:rFonts w:asciiTheme="majorBidi" w:hAnsiTheme="majorBidi" w:cstheme="majorBidi"/>
          <w:sz w:val="24"/>
          <w:szCs w:val="24"/>
        </w:rPr>
        <w:t xml:space="preserve"> Although it revived somewhat during 2012 the lull in banking credit persisted through 2013. The paper </w:t>
      </w:r>
      <w:r w:rsidR="00073D2E">
        <w:rPr>
          <w:rFonts w:asciiTheme="majorBidi" w:hAnsiTheme="majorBidi" w:cstheme="majorBidi"/>
          <w:sz w:val="24"/>
          <w:szCs w:val="24"/>
        </w:rPr>
        <w:t xml:space="preserve">also </w:t>
      </w:r>
      <w:r w:rsidRPr="00282239">
        <w:rPr>
          <w:rFonts w:asciiTheme="majorBidi" w:hAnsiTheme="majorBidi" w:cstheme="majorBidi"/>
          <w:sz w:val="24"/>
          <w:szCs w:val="24"/>
        </w:rPr>
        <w:t xml:space="preserve">argues that additional factors, triggered by the crisis, like the need to rebuild balance sheets and tightening of regulation, contributed to the </w:t>
      </w:r>
      <w:proofErr w:type="spellStart"/>
      <w:r w:rsidRPr="00282239">
        <w:rPr>
          <w:rFonts w:asciiTheme="majorBidi" w:hAnsiTheme="majorBidi" w:cstheme="majorBidi"/>
          <w:sz w:val="24"/>
          <w:szCs w:val="24"/>
        </w:rPr>
        <w:t>lenghtening</w:t>
      </w:r>
      <w:proofErr w:type="spellEnd"/>
      <w:r w:rsidRPr="00282239">
        <w:rPr>
          <w:rFonts w:asciiTheme="majorBidi" w:hAnsiTheme="majorBidi" w:cstheme="majorBidi"/>
          <w:sz w:val="24"/>
          <w:szCs w:val="24"/>
        </w:rPr>
        <w:t xml:space="preserve"> of this credit slowdown. </w:t>
      </w:r>
    </w:p>
    <w:p w:rsidR="00476ADF" w:rsidRDefault="00282239" w:rsidP="004B67ED">
      <w:pPr>
        <w:contextualSpacing/>
        <w:rPr>
          <w:rFonts w:asciiTheme="majorBidi" w:hAnsiTheme="majorBidi" w:cstheme="majorBidi"/>
          <w:sz w:val="24"/>
          <w:szCs w:val="24"/>
        </w:rPr>
      </w:pPr>
      <w:r w:rsidRPr="00282239">
        <w:rPr>
          <w:rFonts w:asciiTheme="majorBidi" w:hAnsiTheme="majorBidi" w:cstheme="majorBidi"/>
          <w:sz w:val="24"/>
          <w:szCs w:val="24"/>
        </w:rPr>
        <w:t xml:space="preserve">Except for net new issuance of corporate debt that actually increased during the first two years following the Lehman event net new issues of all other </w:t>
      </w:r>
      <w:proofErr w:type="spellStart"/>
      <w:r w:rsidRPr="00282239">
        <w:rPr>
          <w:rFonts w:asciiTheme="majorBidi" w:hAnsiTheme="majorBidi" w:cstheme="majorBidi"/>
          <w:sz w:val="24"/>
          <w:szCs w:val="24"/>
        </w:rPr>
        <w:t>non federal</w:t>
      </w:r>
      <w:proofErr w:type="spellEnd"/>
      <w:r w:rsidRPr="00282239">
        <w:rPr>
          <w:rFonts w:asciiTheme="majorBidi" w:hAnsiTheme="majorBidi" w:cstheme="majorBidi"/>
          <w:sz w:val="24"/>
          <w:szCs w:val="24"/>
        </w:rPr>
        <w:t xml:space="preserve"> bond categories collapsed and were predominantly negative through 2013. Those categories include mortgage related and asset backed bonds, municipal bonds and federal agency securities. Although, in the aggregate, the increase in corporate debt </w:t>
      </w:r>
      <w:r w:rsidR="00476ADF">
        <w:rPr>
          <w:rFonts w:asciiTheme="majorBidi" w:hAnsiTheme="majorBidi" w:cstheme="majorBidi"/>
          <w:sz w:val="24"/>
          <w:szCs w:val="24"/>
        </w:rPr>
        <w:t xml:space="preserve">partly offset </w:t>
      </w:r>
      <w:r w:rsidRPr="00282239">
        <w:rPr>
          <w:rFonts w:asciiTheme="majorBidi" w:hAnsiTheme="majorBidi" w:cstheme="majorBidi"/>
          <w:sz w:val="24"/>
          <w:szCs w:val="24"/>
        </w:rPr>
        <w:t xml:space="preserve">the reduction in banking credit it is likely that this reallocation of funds did not compensate medium and small enterprises whose access to the capital market is limited in comparison to large corporations.  </w:t>
      </w:r>
    </w:p>
    <w:p w:rsidR="00270ECC" w:rsidRDefault="00270ECC" w:rsidP="004B67ED">
      <w:pPr>
        <w:contextualSpacing/>
        <w:rPr>
          <w:rFonts w:asciiTheme="majorBidi" w:hAnsiTheme="majorBidi" w:cstheme="majorBidi"/>
          <w:sz w:val="24"/>
          <w:szCs w:val="24"/>
        </w:rPr>
      </w:pPr>
      <w:r w:rsidRPr="00270ECC">
        <w:rPr>
          <w:rFonts w:asciiTheme="majorBidi" w:hAnsiTheme="majorBidi" w:cstheme="majorBidi"/>
          <w:sz w:val="24"/>
          <w:szCs w:val="24"/>
        </w:rPr>
        <w:t>Net new issuance of treasury</w:t>
      </w:r>
      <w:r w:rsidRPr="00282239">
        <w:rPr>
          <w:rFonts w:asciiTheme="majorBidi" w:hAnsiTheme="majorBidi" w:cstheme="majorBidi"/>
          <w:sz w:val="24"/>
          <w:szCs w:val="24"/>
        </w:rPr>
        <w:t xml:space="preserve"> </w:t>
      </w:r>
      <w:r w:rsidRPr="004A782E">
        <w:rPr>
          <w:rFonts w:asciiTheme="majorBidi" w:hAnsiTheme="majorBidi" w:cstheme="majorBidi"/>
          <w:sz w:val="24"/>
          <w:szCs w:val="24"/>
        </w:rPr>
        <w:t>securities actually increased during the first two</w:t>
      </w:r>
      <w:r w:rsidRPr="00282239">
        <w:rPr>
          <w:rFonts w:asciiTheme="majorBidi" w:hAnsiTheme="majorBidi" w:cstheme="majorBidi"/>
          <w:sz w:val="24"/>
          <w:szCs w:val="24"/>
        </w:rPr>
        <w:t xml:space="preserve"> years following Lehman’s collapse. This reflects the flight to safety. Nonetheless total </w:t>
      </w:r>
      <w:r w:rsidRPr="00282239">
        <w:rPr>
          <w:rFonts w:asciiTheme="majorBidi" w:hAnsiTheme="majorBidi" w:cstheme="majorBidi"/>
          <w:sz w:val="24"/>
          <w:szCs w:val="24"/>
        </w:rPr>
        <w:lastRenderedPageBreak/>
        <w:t>net issuance of bonds including the net issuance of treasury securities went down in co</w:t>
      </w:r>
      <w:r>
        <w:rPr>
          <w:rFonts w:asciiTheme="majorBidi" w:hAnsiTheme="majorBidi" w:cstheme="majorBidi"/>
          <w:sz w:val="24"/>
          <w:szCs w:val="24"/>
        </w:rPr>
        <w:t>mparison to the pre-Lehman era.</w:t>
      </w:r>
    </w:p>
    <w:p w:rsidR="00282239" w:rsidRPr="00282239" w:rsidRDefault="00282239" w:rsidP="004B67ED">
      <w:pPr>
        <w:contextualSpacing/>
        <w:rPr>
          <w:rFonts w:asciiTheme="majorBidi" w:hAnsiTheme="majorBidi" w:cstheme="majorBidi"/>
          <w:sz w:val="24"/>
          <w:szCs w:val="24"/>
        </w:rPr>
      </w:pPr>
      <w:r w:rsidRPr="00282239">
        <w:rPr>
          <w:rFonts w:asciiTheme="majorBidi" w:hAnsiTheme="majorBidi" w:cstheme="majorBidi"/>
          <w:sz w:val="24"/>
          <w:szCs w:val="24"/>
        </w:rPr>
        <w:t>The paper is organized as follows: The first section following this introduction documents the dramatic slowdown in the rate of growth of banking credit and the huge accumulation of banks’ reserves at the Fed following the downfall of Lehman Brothers. Appealing to results in a theoretical background paper the second section e</w:t>
      </w:r>
      <w:r w:rsidR="004A782E">
        <w:rPr>
          <w:rFonts w:asciiTheme="majorBidi" w:hAnsiTheme="majorBidi" w:cstheme="majorBidi"/>
          <w:sz w:val="24"/>
          <w:szCs w:val="24"/>
        </w:rPr>
        <w:t>xplains the evidence in the preceding section</w:t>
      </w:r>
      <w:r w:rsidRPr="00282239">
        <w:rPr>
          <w:rFonts w:asciiTheme="majorBidi" w:hAnsiTheme="majorBidi" w:cstheme="majorBidi"/>
          <w:sz w:val="24"/>
          <w:szCs w:val="24"/>
        </w:rPr>
        <w:t xml:space="preserve"> in terms of a short term shift in </w:t>
      </w:r>
      <w:r w:rsidR="004A782E">
        <w:rPr>
          <w:rFonts w:asciiTheme="majorBidi" w:hAnsiTheme="majorBidi" w:cstheme="majorBidi"/>
          <w:sz w:val="24"/>
          <w:szCs w:val="24"/>
        </w:rPr>
        <w:t xml:space="preserve">in the demand for </w:t>
      </w:r>
      <w:r w:rsidRPr="00282239">
        <w:rPr>
          <w:rFonts w:asciiTheme="majorBidi" w:hAnsiTheme="majorBidi" w:cstheme="majorBidi"/>
          <w:sz w:val="24"/>
          <w:szCs w:val="24"/>
        </w:rPr>
        <w:t>ban</w:t>
      </w:r>
      <w:r w:rsidR="004A782E">
        <w:rPr>
          <w:rFonts w:asciiTheme="majorBidi" w:hAnsiTheme="majorBidi" w:cstheme="majorBidi"/>
          <w:sz w:val="24"/>
          <w:szCs w:val="24"/>
        </w:rPr>
        <w:t>ks’</w:t>
      </w:r>
      <w:r w:rsidRPr="00282239">
        <w:rPr>
          <w:rFonts w:asciiTheme="majorBidi" w:hAnsiTheme="majorBidi" w:cstheme="majorBidi"/>
          <w:sz w:val="24"/>
          <w:szCs w:val="24"/>
        </w:rPr>
        <w:t xml:space="preserve"> </w:t>
      </w:r>
      <w:r w:rsidR="004A782E">
        <w:rPr>
          <w:rFonts w:asciiTheme="majorBidi" w:hAnsiTheme="majorBidi" w:cstheme="majorBidi"/>
          <w:sz w:val="24"/>
          <w:szCs w:val="24"/>
        </w:rPr>
        <w:t xml:space="preserve">liabilities </w:t>
      </w:r>
      <w:r w:rsidRPr="00282239">
        <w:rPr>
          <w:rFonts w:asciiTheme="majorBidi" w:hAnsiTheme="majorBidi" w:cstheme="majorBidi"/>
          <w:sz w:val="24"/>
          <w:szCs w:val="24"/>
        </w:rPr>
        <w:t xml:space="preserve">due to an increase in bailout uncertainty in the immediate aftermath of Lehman’s </w:t>
      </w:r>
      <w:r w:rsidRPr="00073D2E">
        <w:rPr>
          <w:rFonts w:asciiTheme="majorBidi" w:hAnsiTheme="majorBidi" w:cstheme="majorBidi"/>
          <w:sz w:val="24"/>
          <w:szCs w:val="24"/>
        </w:rPr>
        <w:t>collapse. The strong pe</w:t>
      </w:r>
      <w:r w:rsidR="00073D2E" w:rsidRPr="00073D2E">
        <w:rPr>
          <w:rFonts w:asciiTheme="majorBidi" w:hAnsiTheme="majorBidi" w:cstheme="majorBidi"/>
          <w:sz w:val="24"/>
          <w:szCs w:val="24"/>
        </w:rPr>
        <w:t xml:space="preserve">rsistence of banking credit arrest in spite of huge excess </w:t>
      </w:r>
      <w:proofErr w:type="gramStart"/>
      <w:r w:rsidR="00073D2E" w:rsidRPr="00073D2E">
        <w:rPr>
          <w:rFonts w:asciiTheme="majorBidi" w:hAnsiTheme="majorBidi" w:cstheme="majorBidi"/>
          <w:sz w:val="24"/>
          <w:szCs w:val="24"/>
        </w:rPr>
        <w:t xml:space="preserve">reserves </w:t>
      </w:r>
      <w:r w:rsidRPr="00073D2E">
        <w:rPr>
          <w:rFonts w:asciiTheme="majorBidi" w:hAnsiTheme="majorBidi" w:cstheme="majorBidi"/>
          <w:sz w:val="24"/>
          <w:szCs w:val="24"/>
        </w:rPr>
        <w:t xml:space="preserve"> is</w:t>
      </w:r>
      <w:proofErr w:type="gramEnd"/>
      <w:r w:rsidRPr="00073D2E">
        <w:rPr>
          <w:rFonts w:asciiTheme="majorBidi" w:hAnsiTheme="majorBidi" w:cstheme="majorBidi"/>
          <w:sz w:val="24"/>
          <w:szCs w:val="24"/>
        </w:rPr>
        <w:t xml:space="preserve"> explained in terms of an increased probabilistic awareness to low bailout probabilities wit</w:t>
      </w:r>
      <w:r w:rsidR="00073D2E" w:rsidRPr="00073D2E">
        <w:rPr>
          <w:rFonts w:asciiTheme="majorBidi" w:hAnsiTheme="majorBidi" w:cstheme="majorBidi"/>
          <w:sz w:val="24"/>
          <w:szCs w:val="24"/>
        </w:rPr>
        <w:t>hin a multiple priors framework along with subsequent toughening of banking regulation triggered by the crisis.</w:t>
      </w:r>
      <w:r w:rsidR="00073D2E">
        <w:rPr>
          <w:rFonts w:asciiTheme="majorBidi" w:hAnsiTheme="majorBidi" w:cstheme="majorBidi"/>
          <w:color w:val="FF0000"/>
          <w:sz w:val="24"/>
          <w:szCs w:val="24"/>
        </w:rPr>
        <w:t xml:space="preserve">  </w:t>
      </w:r>
      <w:r w:rsidRPr="00282239">
        <w:rPr>
          <w:rFonts w:asciiTheme="majorBidi" w:hAnsiTheme="majorBidi" w:cstheme="majorBidi"/>
          <w:sz w:val="24"/>
          <w:szCs w:val="24"/>
        </w:rPr>
        <w:t>The third se</w:t>
      </w:r>
      <w:r w:rsidR="00073D2E">
        <w:rPr>
          <w:rFonts w:asciiTheme="majorBidi" w:hAnsiTheme="majorBidi" w:cstheme="majorBidi"/>
          <w:sz w:val="24"/>
          <w:szCs w:val="24"/>
        </w:rPr>
        <w:t>ction documents a dramatic decrease in</w:t>
      </w:r>
      <w:r w:rsidRPr="00282239">
        <w:rPr>
          <w:rFonts w:asciiTheme="majorBidi" w:hAnsiTheme="majorBidi" w:cstheme="majorBidi"/>
          <w:sz w:val="24"/>
          <w:szCs w:val="24"/>
        </w:rPr>
        <w:t xml:space="preserve"> </w:t>
      </w:r>
      <w:r w:rsidR="00073D2E">
        <w:rPr>
          <w:rFonts w:asciiTheme="majorBidi" w:hAnsiTheme="majorBidi" w:cstheme="majorBidi"/>
          <w:sz w:val="24"/>
          <w:szCs w:val="24"/>
        </w:rPr>
        <w:t>total (</w:t>
      </w:r>
      <w:proofErr w:type="spellStart"/>
      <w:r w:rsidR="00073D2E">
        <w:rPr>
          <w:rFonts w:asciiTheme="majorBidi" w:hAnsiTheme="majorBidi" w:cstheme="majorBidi"/>
          <w:sz w:val="24"/>
          <w:szCs w:val="24"/>
        </w:rPr>
        <w:t>non treasury</w:t>
      </w:r>
      <w:proofErr w:type="spellEnd"/>
      <w:r w:rsidR="00073D2E">
        <w:rPr>
          <w:rFonts w:asciiTheme="majorBidi" w:hAnsiTheme="majorBidi" w:cstheme="majorBidi"/>
          <w:sz w:val="24"/>
          <w:szCs w:val="24"/>
        </w:rPr>
        <w:t xml:space="preserve">) </w:t>
      </w:r>
      <w:r w:rsidRPr="00282239">
        <w:rPr>
          <w:rFonts w:asciiTheme="majorBidi" w:hAnsiTheme="majorBidi" w:cstheme="majorBidi"/>
          <w:sz w:val="24"/>
          <w:szCs w:val="24"/>
        </w:rPr>
        <w:t>net new bond issues</w:t>
      </w:r>
      <w:r w:rsidR="000A5BF8">
        <w:rPr>
          <w:rFonts w:asciiTheme="majorBidi" w:hAnsiTheme="majorBidi" w:cstheme="majorBidi"/>
          <w:sz w:val="24"/>
          <w:szCs w:val="24"/>
        </w:rPr>
        <w:t xml:space="preserve"> as well as a partially offsetting increase in corporate bond issues. </w:t>
      </w:r>
      <w:r w:rsidR="004F71B7">
        <w:rPr>
          <w:rFonts w:asciiTheme="majorBidi" w:hAnsiTheme="majorBidi" w:cstheme="majorBidi"/>
          <w:sz w:val="24"/>
          <w:szCs w:val="24"/>
        </w:rPr>
        <w:t>The evidence from section 2 is</w:t>
      </w:r>
      <w:r w:rsidRPr="00282239">
        <w:rPr>
          <w:rFonts w:asciiTheme="majorBidi" w:hAnsiTheme="majorBidi" w:cstheme="majorBidi"/>
          <w:sz w:val="24"/>
          <w:szCs w:val="24"/>
        </w:rPr>
        <w:t xml:space="preserve"> then used, in section 4, to explain why inf</w:t>
      </w:r>
      <w:r w:rsidR="000A5BF8">
        <w:rPr>
          <w:rFonts w:asciiTheme="majorBidi" w:hAnsiTheme="majorBidi" w:cstheme="majorBidi"/>
          <w:sz w:val="24"/>
          <w:szCs w:val="24"/>
        </w:rPr>
        <w:t>lation has been and still</w:t>
      </w:r>
      <w:r w:rsidRPr="00282239">
        <w:rPr>
          <w:rFonts w:asciiTheme="majorBidi" w:hAnsiTheme="majorBidi" w:cstheme="majorBidi"/>
          <w:sz w:val="24"/>
          <w:szCs w:val="24"/>
        </w:rPr>
        <w:t xml:space="preserve"> </w:t>
      </w:r>
      <w:r w:rsidR="000A5BF8">
        <w:rPr>
          <w:rFonts w:asciiTheme="majorBidi" w:hAnsiTheme="majorBidi" w:cstheme="majorBidi"/>
          <w:sz w:val="24"/>
          <w:szCs w:val="24"/>
        </w:rPr>
        <w:t xml:space="preserve">is extremely low in </w:t>
      </w:r>
      <w:r w:rsidRPr="00282239">
        <w:rPr>
          <w:rFonts w:asciiTheme="majorBidi" w:hAnsiTheme="majorBidi" w:cstheme="majorBidi"/>
          <w:sz w:val="24"/>
          <w:szCs w:val="24"/>
        </w:rPr>
        <w:t>spite of a huge</w:t>
      </w:r>
      <w:r w:rsidR="004B67ED">
        <w:rPr>
          <w:rFonts w:asciiTheme="majorBidi" w:hAnsiTheme="majorBidi" w:cstheme="majorBidi"/>
          <w:sz w:val="24"/>
          <w:szCs w:val="24"/>
        </w:rPr>
        <w:t xml:space="preserve"> expansion of the monetary base.</w:t>
      </w:r>
    </w:p>
    <w:p w:rsidR="004A782E" w:rsidRPr="004A782E" w:rsidRDefault="00282239" w:rsidP="00484A9F">
      <w:pPr>
        <w:spacing w:after="100" w:afterAutospacing="1"/>
        <w:contextualSpacing/>
        <w:jc w:val="both"/>
        <w:rPr>
          <w:rFonts w:asciiTheme="majorBidi" w:hAnsiTheme="majorBidi" w:cstheme="majorBidi"/>
          <w:sz w:val="24"/>
          <w:szCs w:val="24"/>
        </w:rPr>
        <w:sectPr w:rsidR="004A782E" w:rsidRPr="004A782E" w:rsidSect="00270ECC">
          <w:footerReference w:type="default" r:id="rId9"/>
          <w:pgSz w:w="11920" w:h="16841"/>
          <w:pgMar w:top="1440" w:right="1700" w:bottom="1440" w:left="1760" w:header="0" w:footer="567" w:gutter="0"/>
          <w:cols w:space="720" w:equalWidth="0">
            <w:col w:w="8460"/>
          </w:cols>
          <w:docGrid w:linePitch="299"/>
        </w:sectPr>
      </w:pPr>
      <w:r w:rsidRPr="00282239">
        <w:rPr>
          <w:rFonts w:asciiTheme="majorBidi" w:hAnsiTheme="majorBidi" w:cstheme="majorBidi"/>
          <w:sz w:val="24"/>
          <w:szCs w:val="24"/>
        </w:rPr>
        <w:tab/>
      </w:r>
      <w:proofErr w:type="gramStart"/>
      <w:r w:rsidRPr="00282239">
        <w:rPr>
          <w:rFonts w:asciiTheme="majorBidi" w:hAnsiTheme="majorBidi" w:cstheme="majorBidi"/>
          <w:sz w:val="24"/>
          <w:szCs w:val="24"/>
        </w:rPr>
        <w:t xml:space="preserve">Section 5 </w:t>
      </w:r>
      <w:proofErr w:type="spellStart"/>
      <w:r w:rsidRPr="00282239">
        <w:rPr>
          <w:rFonts w:asciiTheme="majorBidi" w:hAnsiTheme="majorBidi" w:cstheme="majorBidi"/>
          <w:sz w:val="24"/>
          <w:szCs w:val="24"/>
        </w:rPr>
        <w:t>observs</w:t>
      </w:r>
      <w:proofErr w:type="spellEnd"/>
      <w:r w:rsidRPr="00282239">
        <w:rPr>
          <w:rFonts w:asciiTheme="majorBidi" w:hAnsiTheme="majorBidi" w:cstheme="majorBidi"/>
          <w:sz w:val="24"/>
          <w:szCs w:val="24"/>
        </w:rPr>
        <w:t xml:space="preserve"> that since the Lehman event </w:t>
      </w:r>
      <w:proofErr w:type="spellStart"/>
      <w:r w:rsidRPr="00282239">
        <w:rPr>
          <w:rFonts w:asciiTheme="majorBidi" w:hAnsiTheme="majorBidi" w:cstheme="majorBidi"/>
          <w:sz w:val="24"/>
          <w:szCs w:val="24"/>
        </w:rPr>
        <w:t>cummulative</w:t>
      </w:r>
      <w:proofErr w:type="spellEnd"/>
      <w:r w:rsidRPr="00282239">
        <w:rPr>
          <w:rFonts w:asciiTheme="majorBidi" w:hAnsiTheme="majorBidi" w:cstheme="majorBidi"/>
          <w:sz w:val="24"/>
          <w:szCs w:val="24"/>
        </w:rPr>
        <w:t xml:space="preserve"> base money in the US expanded at a rate similar to the cumulative rate of increase of base money through about half of the post WWI German hyperinflation.</w:t>
      </w:r>
      <w:proofErr w:type="gramEnd"/>
      <w:r w:rsidRPr="00282239">
        <w:rPr>
          <w:rFonts w:asciiTheme="majorBidi" w:hAnsiTheme="majorBidi" w:cstheme="majorBidi"/>
          <w:sz w:val="24"/>
          <w:szCs w:val="24"/>
        </w:rPr>
        <w:t xml:space="preserve"> It compares and contrasts the response of inflation to those elevated levels of monetary expansion in the US today and in Germany during the hyperinflation. Section 6 discusses the institutional and other differences between the US today and Germany then that led to those dramatic differences. Based on this it argues that, although the quantity theory of money is a good starting point for understanding the relation between money and prices, there are other important factors. Implica</w:t>
      </w:r>
      <w:r w:rsidR="000A5BF8">
        <w:rPr>
          <w:rFonts w:asciiTheme="majorBidi" w:hAnsiTheme="majorBidi" w:cstheme="majorBidi"/>
          <w:sz w:val="24"/>
          <w:szCs w:val="24"/>
        </w:rPr>
        <w:t>tions for the choice</w:t>
      </w:r>
      <w:r w:rsidRPr="00282239">
        <w:rPr>
          <w:rFonts w:asciiTheme="majorBidi" w:hAnsiTheme="majorBidi" w:cstheme="majorBidi"/>
          <w:sz w:val="24"/>
          <w:szCs w:val="24"/>
        </w:rPr>
        <w:t xml:space="preserve"> </w:t>
      </w:r>
      <w:r w:rsidR="000A5BF8">
        <w:rPr>
          <w:rFonts w:asciiTheme="majorBidi" w:hAnsiTheme="majorBidi" w:cstheme="majorBidi"/>
          <w:sz w:val="24"/>
          <w:szCs w:val="24"/>
        </w:rPr>
        <w:t xml:space="preserve">and timing </w:t>
      </w:r>
      <w:r w:rsidRPr="00282239">
        <w:rPr>
          <w:rFonts w:asciiTheme="majorBidi" w:hAnsiTheme="majorBidi" w:cstheme="majorBidi"/>
          <w:sz w:val="24"/>
          <w:szCs w:val="24"/>
        </w:rPr>
        <w:t>of exit strat</w:t>
      </w:r>
      <w:r>
        <w:rPr>
          <w:rFonts w:asciiTheme="majorBidi" w:hAnsiTheme="majorBidi" w:cstheme="majorBidi"/>
          <w:sz w:val="24"/>
          <w:szCs w:val="24"/>
        </w:rPr>
        <w:t>egies are discussed in section 7. This is followed by concluding remarks</w:t>
      </w:r>
      <w:r w:rsidR="004A782E">
        <w:rPr>
          <w:rFonts w:asciiTheme="majorBidi" w:hAnsiTheme="majorBidi" w:cstheme="majorBidi"/>
          <w:sz w:val="24"/>
          <w:szCs w:val="24"/>
        </w:rPr>
        <w:t>.</w:t>
      </w:r>
    </w:p>
    <w:p w:rsidR="00666055" w:rsidRDefault="00D370F7" w:rsidP="00666055">
      <w:pPr>
        <w:pStyle w:val="ListParagraph"/>
        <w:ind w:left="644"/>
        <w:rPr>
          <w:rFonts w:asciiTheme="majorBidi" w:hAnsiTheme="majorBidi" w:cstheme="majorBidi"/>
          <w:b/>
          <w:bCs/>
          <w:sz w:val="28"/>
          <w:szCs w:val="28"/>
        </w:rPr>
      </w:pPr>
      <w:bookmarkStart w:id="1" w:name="page3"/>
      <w:bookmarkEnd w:id="1"/>
      <w:r>
        <w:rPr>
          <w:rFonts w:asciiTheme="majorBidi" w:hAnsiTheme="majorBidi" w:cstheme="majorBidi"/>
          <w:b/>
          <w:bCs/>
          <w:sz w:val="28"/>
          <w:szCs w:val="28"/>
        </w:rPr>
        <w:lastRenderedPageBreak/>
        <w:t>1</w:t>
      </w:r>
      <w:r w:rsidR="00666055">
        <w:rPr>
          <w:rFonts w:asciiTheme="majorBidi" w:hAnsiTheme="majorBidi" w:cstheme="majorBidi"/>
          <w:b/>
          <w:bCs/>
          <w:sz w:val="28"/>
          <w:szCs w:val="28"/>
        </w:rPr>
        <w:t>. Evidence on banking cr</w:t>
      </w:r>
      <w:r w:rsidR="00D61087">
        <w:rPr>
          <w:rFonts w:asciiTheme="majorBidi" w:hAnsiTheme="majorBidi" w:cstheme="majorBidi"/>
          <w:b/>
          <w:bCs/>
          <w:sz w:val="28"/>
          <w:szCs w:val="28"/>
        </w:rPr>
        <w:t>edit and reserves holdings before and after</w:t>
      </w:r>
      <w:r w:rsidR="00666055">
        <w:rPr>
          <w:rFonts w:asciiTheme="majorBidi" w:hAnsiTheme="majorBidi" w:cstheme="majorBidi"/>
          <w:b/>
          <w:bCs/>
          <w:sz w:val="28"/>
          <w:szCs w:val="28"/>
        </w:rPr>
        <w:t xml:space="preserve"> Lehman’s collapse </w:t>
      </w:r>
    </w:p>
    <w:p w:rsidR="00FF56BB" w:rsidRDefault="00474A05" w:rsidP="006C2CC0">
      <w:pPr>
        <w:pStyle w:val="ListParagraph"/>
        <w:ind w:left="0" w:hanging="1070"/>
        <w:jc w:val="both"/>
        <w:rPr>
          <w:rFonts w:asciiTheme="majorBidi" w:hAnsiTheme="majorBidi" w:cstheme="majorBidi"/>
          <w:sz w:val="24"/>
          <w:szCs w:val="24"/>
        </w:rPr>
      </w:pPr>
      <w:r>
        <w:rPr>
          <w:rFonts w:asciiTheme="majorBidi" w:hAnsiTheme="majorBidi" w:cstheme="majorBidi"/>
          <w:b/>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8.65pt;margin-top:98.7pt;width:492pt;height:305.2pt;z-index:251670528">
            <v:imagedata r:id="rId10" o:title=""/>
            <w10:wrap type="square"/>
          </v:shape>
          <o:OLEObject Type="Embed" ProgID="PowerPoint.Slide.12" ShapeID="_x0000_s1038" DrawAspect="Content" ObjectID="_1508435279" r:id="rId11"/>
        </w:pict>
      </w:r>
      <w:r w:rsidR="009E0B95">
        <w:rPr>
          <w:rFonts w:asciiTheme="majorBidi" w:hAnsiTheme="majorBidi" w:cstheme="majorBidi"/>
          <w:sz w:val="24"/>
          <w:szCs w:val="24"/>
        </w:rPr>
        <w:t xml:space="preserve"> </w:t>
      </w:r>
      <w:r w:rsidR="00641145">
        <w:rPr>
          <w:rFonts w:asciiTheme="majorBidi" w:hAnsiTheme="majorBidi" w:cstheme="majorBidi"/>
          <w:sz w:val="24"/>
          <w:szCs w:val="24"/>
        </w:rPr>
        <w:tab/>
      </w:r>
      <w:r w:rsidR="00641145">
        <w:rPr>
          <w:rFonts w:asciiTheme="majorBidi" w:hAnsiTheme="majorBidi" w:cstheme="majorBidi"/>
          <w:sz w:val="24"/>
          <w:szCs w:val="24"/>
        </w:rPr>
        <w:tab/>
      </w:r>
      <w:r w:rsidR="00222415" w:rsidRPr="00DE035D">
        <w:rPr>
          <w:rFonts w:asciiTheme="majorBidi" w:hAnsiTheme="majorBidi" w:cstheme="majorBidi"/>
          <w:sz w:val="24"/>
          <w:szCs w:val="24"/>
        </w:rPr>
        <w:t>The</w:t>
      </w:r>
      <w:r w:rsidR="00664888" w:rsidRPr="00DE035D">
        <w:rPr>
          <w:rFonts w:asciiTheme="majorBidi" w:hAnsiTheme="majorBidi" w:cstheme="majorBidi"/>
          <w:sz w:val="24"/>
          <w:szCs w:val="24"/>
        </w:rPr>
        <w:t xml:space="preserve">re has been a dramatic </w:t>
      </w:r>
      <w:r w:rsidR="00DE035D">
        <w:rPr>
          <w:rFonts w:asciiTheme="majorBidi" w:hAnsiTheme="majorBidi" w:cstheme="majorBidi"/>
          <w:sz w:val="24"/>
          <w:szCs w:val="24"/>
        </w:rPr>
        <w:t>shift</w:t>
      </w:r>
      <w:r w:rsidR="00A317A9" w:rsidRPr="00DE035D">
        <w:rPr>
          <w:rFonts w:asciiTheme="majorBidi" w:hAnsiTheme="majorBidi" w:cstheme="majorBidi"/>
          <w:sz w:val="24"/>
          <w:szCs w:val="24"/>
        </w:rPr>
        <w:t xml:space="preserve"> in the behavior of the US banking system </w:t>
      </w:r>
      <w:r w:rsidR="00DE035D" w:rsidRPr="00DE035D">
        <w:rPr>
          <w:rFonts w:asciiTheme="majorBidi" w:hAnsiTheme="majorBidi" w:cstheme="majorBidi"/>
          <w:sz w:val="24"/>
          <w:szCs w:val="24"/>
        </w:rPr>
        <w:t>in terms of b</w:t>
      </w:r>
      <w:r w:rsidR="00A446D6">
        <w:rPr>
          <w:rFonts w:asciiTheme="majorBidi" w:hAnsiTheme="majorBidi" w:cstheme="majorBidi"/>
          <w:sz w:val="24"/>
          <w:szCs w:val="24"/>
        </w:rPr>
        <w:t xml:space="preserve">oth credit growth and </w:t>
      </w:r>
      <w:r w:rsidR="00DE035D" w:rsidRPr="00DE035D">
        <w:rPr>
          <w:rFonts w:asciiTheme="majorBidi" w:hAnsiTheme="majorBidi" w:cstheme="majorBidi"/>
          <w:sz w:val="24"/>
          <w:szCs w:val="24"/>
        </w:rPr>
        <w:t>reserves</w:t>
      </w:r>
      <w:r w:rsidR="00A446D6">
        <w:rPr>
          <w:rFonts w:asciiTheme="majorBidi" w:hAnsiTheme="majorBidi" w:cstheme="majorBidi"/>
          <w:sz w:val="24"/>
          <w:szCs w:val="24"/>
        </w:rPr>
        <w:t>’</w:t>
      </w:r>
      <w:r w:rsidR="00DE035D" w:rsidRPr="00DE035D">
        <w:rPr>
          <w:rFonts w:asciiTheme="majorBidi" w:hAnsiTheme="majorBidi" w:cstheme="majorBidi"/>
          <w:sz w:val="24"/>
          <w:szCs w:val="24"/>
        </w:rPr>
        <w:t xml:space="preserve"> </w:t>
      </w:r>
      <w:r w:rsidR="00A446D6">
        <w:rPr>
          <w:rFonts w:asciiTheme="majorBidi" w:hAnsiTheme="majorBidi" w:cstheme="majorBidi"/>
          <w:sz w:val="24"/>
          <w:szCs w:val="24"/>
        </w:rPr>
        <w:t xml:space="preserve">accumulation </w:t>
      </w:r>
      <w:r w:rsidR="00A317A9" w:rsidRPr="00DE035D">
        <w:rPr>
          <w:rFonts w:asciiTheme="majorBidi" w:hAnsiTheme="majorBidi" w:cstheme="majorBidi"/>
          <w:sz w:val="24"/>
          <w:szCs w:val="24"/>
        </w:rPr>
        <w:t xml:space="preserve">since the </w:t>
      </w:r>
      <w:r w:rsidR="00222415" w:rsidRPr="00DE035D">
        <w:rPr>
          <w:rFonts w:asciiTheme="majorBidi" w:hAnsiTheme="majorBidi" w:cstheme="majorBidi"/>
          <w:sz w:val="24"/>
          <w:szCs w:val="24"/>
        </w:rPr>
        <w:t>collapse of Lehman Brothers in September 2008</w:t>
      </w:r>
      <w:r w:rsidR="0053125A" w:rsidRPr="00DE035D">
        <w:rPr>
          <w:rFonts w:asciiTheme="majorBidi" w:hAnsiTheme="majorBidi" w:cstheme="majorBidi"/>
          <w:sz w:val="24"/>
          <w:szCs w:val="24"/>
        </w:rPr>
        <w:t>.</w:t>
      </w:r>
      <w:r w:rsidR="00437DE9">
        <w:rPr>
          <w:rFonts w:asciiTheme="majorBidi" w:hAnsiTheme="majorBidi" w:cstheme="majorBidi"/>
          <w:sz w:val="24"/>
          <w:szCs w:val="24"/>
        </w:rPr>
        <w:t xml:space="preserve"> </w:t>
      </w:r>
      <w:r w:rsidR="00DE035D" w:rsidRPr="00DE035D">
        <w:rPr>
          <w:rFonts w:asciiTheme="majorBidi" w:hAnsiTheme="majorBidi" w:cstheme="majorBidi"/>
          <w:sz w:val="24"/>
          <w:szCs w:val="24"/>
        </w:rPr>
        <w:t xml:space="preserve">Between January 1947 and August 2008, total US banking credit </w:t>
      </w:r>
      <w:r w:rsidR="008B2378">
        <w:rPr>
          <w:rFonts w:asciiTheme="majorBidi" w:hAnsiTheme="majorBidi" w:cstheme="majorBidi"/>
          <w:sz w:val="24"/>
          <w:szCs w:val="24"/>
        </w:rPr>
        <w:t xml:space="preserve">expanded at an average </w:t>
      </w:r>
      <w:r w:rsidR="00DE035D" w:rsidRPr="00DE035D">
        <w:rPr>
          <w:rFonts w:asciiTheme="majorBidi" w:hAnsiTheme="majorBidi" w:cstheme="majorBidi"/>
          <w:sz w:val="24"/>
          <w:szCs w:val="24"/>
        </w:rPr>
        <w:t>yearly</w:t>
      </w:r>
      <w:r w:rsidR="008B2378">
        <w:rPr>
          <w:rFonts w:asciiTheme="majorBidi" w:hAnsiTheme="majorBidi" w:cstheme="majorBidi"/>
          <w:sz w:val="24"/>
          <w:szCs w:val="24"/>
        </w:rPr>
        <w:t xml:space="preserve"> </w:t>
      </w:r>
      <w:r w:rsidR="00E23011">
        <w:rPr>
          <w:rFonts w:asciiTheme="majorBidi" w:hAnsiTheme="majorBidi" w:cstheme="majorBidi"/>
          <w:sz w:val="24"/>
          <w:szCs w:val="24"/>
        </w:rPr>
        <w:t xml:space="preserve">compound </w:t>
      </w:r>
      <w:r w:rsidR="008B2378">
        <w:rPr>
          <w:rFonts w:asciiTheme="majorBidi" w:hAnsiTheme="majorBidi" w:cstheme="majorBidi"/>
          <w:sz w:val="24"/>
          <w:szCs w:val="24"/>
        </w:rPr>
        <w:t>rate of 7.15</w:t>
      </w:r>
      <w:r w:rsidR="00DE035D" w:rsidRPr="00DE035D">
        <w:rPr>
          <w:rFonts w:asciiTheme="majorBidi" w:hAnsiTheme="majorBidi" w:cstheme="majorBidi"/>
          <w:sz w:val="24"/>
          <w:szCs w:val="24"/>
        </w:rPr>
        <w:t>%. Since Le</w:t>
      </w:r>
      <w:r w:rsidR="008B2378">
        <w:rPr>
          <w:rFonts w:asciiTheme="majorBidi" w:hAnsiTheme="majorBidi" w:cstheme="majorBidi"/>
          <w:sz w:val="24"/>
          <w:szCs w:val="24"/>
        </w:rPr>
        <w:t xml:space="preserve">hman’s collapse until </w:t>
      </w:r>
    </w:p>
    <w:p w:rsidR="00FF56BB" w:rsidRDefault="00FF56BB" w:rsidP="006C2CC0">
      <w:pPr>
        <w:pStyle w:val="ListParagraph"/>
        <w:ind w:left="0" w:hanging="1070"/>
        <w:jc w:val="both"/>
        <w:rPr>
          <w:rFonts w:asciiTheme="majorBidi" w:hAnsiTheme="majorBidi" w:cstheme="majorBidi"/>
          <w:sz w:val="24"/>
          <w:szCs w:val="24"/>
        </w:rPr>
      </w:pPr>
    </w:p>
    <w:p w:rsidR="009242CF" w:rsidRDefault="00FF56BB" w:rsidP="006C2CC0">
      <w:pPr>
        <w:pStyle w:val="ListParagraph"/>
        <w:ind w:left="0" w:hanging="1070"/>
        <w:jc w:val="both"/>
        <w:rPr>
          <w:rFonts w:asciiTheme="majorBidi" w:hAnsiTheme="majorBidi" w:cstheme="majorBidi"/>
          <w:sz w:val="24"/>
          <w:szCs w:val="24"/>
        </w:rPr>
      </w:pPr>
      <w:r>
        <w:rPr>
          <w:rFonts w:asciiTheme="majorBidi" w:hAnsiTheme="majorBidi" w:cstheme="majorBidi"/>
          <w:sz w:val="24"/>
          <w:szCs w:val="24"/>
        </w:rPr>
        <w:tab/>
      </w:r>
      <w:r w:rsidR="008B2378">
        <w:rPr>
          <w:rFonts w:asciiTheme="majorBidi" w:hAnsiTheme="majorBidi" w:cstheme="majorBidi"/>
          <w:sz w:val="24"/>
          <w:szCs w:val="24"/>
        </w:rPr>
        <w:t>June 2011</w:t>
      </w:r>
      <w:r w:rsidR="00DE035D" w:rsidRPr="00DE035D">
        <w:rPr>
          <w:rFonts w:asciiTheme="majorBidi" w:hAnsiTheme="majorBidi" w:cstheme="majorBidi"/>
          <w:sz w:val="24"/>
          <w:szCs w:val="24"/>
        </w:rPr>
        <w:t>,</w:t>
      </w:r>
      <w:r w:rsidR="008B2378">
        <w:rPr>
          <w:rFonts w:asciiTheme="majorBidi" w:hAnsiTheme="majorBidi" w:cstheme="majorBidi"/>
          <w:sz w:val="24"/>
          <w:szCs w:val="24"/>
        </w:rPr>
        <w:t xml:space="preserve"> this rate dropped to a mere 0.65% – about one tenth -</w:t>
      </w:r>
      <w:r w:rsidR="00DE035D" w:rsidRPr="00DE035D">
        <w:rPr>
          <w:rFonts w:asciiTheme="majorBidi" w:hAnsiTheme="majorBidi" w:cstheme="majorBidi"/>
          <w:sz w:val="24"/>
          <w:szCs w:val="24"/>
        </w:rPr>
        <w:t xml:space="preserve"> of its previous normal long-term rate of growth.</w:t>
      </w:r>
      <w:r w:rsidR="00DE035D" w:rsidRPr="00DE035D">
        <w:rPr>
          <w:rStyle w:val="FootnoteReference"/>
          <w:rFonts w:asciiTheme="majorBidi" w:hAnsiTheme="majorBidi" w:cstheme="majorBidi"/>
          <w:sz w:val="24"/>
          <w:szCs w:val="24"/>
        </w:rPr>
        <w:footnoteReference w:id="2"/>
      </w:r>
      <w:r w:rsidR="008B2378">
        <w:rPr>
          <w:rFonts w:asciiTheme="majorBidi" w:hAnsiTheme="majorBidi" w:cstheme="majorBidi"/>
          <w:sz w:val="24"/>
          <w:szCs w:val="24"/>
        </w:rPr>
        <w:t xml:space="preserve"> Credit growth temporarily picked up to 5.22% between July 2011 and December 2012 but slowed back down to 0.76% between January and August of 2013</w:t>
      </w:r>
      <w:r w:rsidR="00DE035D" w:rsidRPr="00DE035D">
        <w:rPr>
          <w:rFonts w:asciiTheme="majorBidi" w:hAnsiTheme="majorBidi" w:cstheme="majorBidi"/>
          <w:sz w:val="24"/>
          <w:szCs w:val="24"/>
        </w:rPr>
        <w:t xml:space="preserve">. </w:t>
      </w:r>
      <w:r w:rsidR="00DE035D">
        <w:rPr>
          <w:rFonts w:asciiTheme="majorBidi" w:hAnsiTheme="majorBidi" w:cstheme="majorBidi"/>
          <w:sz w:val="24"/>
          <w:szCs w:val="24"/>
        </w:rPr>
        <w:t>Figure 1</w:t>
      </w:r>
      <w:r w:rsidR="00DE035D" w:rsidRPr="00DE035D">
        <w:rPr>
          <w:rFonts w:asciiTheme="majorBidi" w:hAnsiTheme="majorBidi" w:cstheme="majorBidi"/>
          <w:sz w:val="24"/>
          <w:szCs w:val="24"/>
        </w:rPr>
        <w:t xml:space="preserve"> illustrates this dramatic change in the behavior of US banking credit prior to and after the downfall of </w:t>
      </w:r>
      <w:r w:rsidR="00026310" w:rsidRPr="00DE035D">
        <w:rPr>
          <w:rFonts w:asciiTheme="majorBidi" w:hAnsiTheme="majorBidi" w:cstheme="majorBidi"/>
          <w:sz w:val="24"/>
          <w:szCs w:val="24"/>
        </w:rPr>
        <w:t>Lehman Brothers. The figure clearly shows that, after increasing rapidly between the early eighties and mid-2008, credit expansion decelerated sharply</w:t>
      </w:r>
      <w:r w:rsidR="00026310">
        <w:rPr>
          <w:rFonts w:asciiTheme="majorBidi" w:hAnsiTheme="majorBidi" w:cstheme="majorBidi"/>
          <w:sz w:val="24"/>
          <w:szCs w:val="24"/>
        </w:rPr>
        <w:t xml:space="preserve"> after September 2008.</w:t>
      </w:r>
    </w:p>
    <w:p w:rsidR="00674C02" w:rsidRDefault="006F7390" w:rsidP="006C2CC0">
      <w:pPr>
        <w:contextualSpacing/>
        <w:jc w:val="both"/>
        <w:rPr>
          <w:rFonts w:asciiTheme="majorBidi" w:hAnsiTheme="majorBidi" w:cstheme="majorBidi"/>
          <w:sz w:val="24"/>
          <w:szCs w:val="24"/>
        </w:rPr>
      </w:pPr>
      <w:r>
        <w:rPr>
          <w:rFonts w:asciiTheme="majorBidi" w:hAnsiTheme="majorBidi" w:cstheme="majorBidi"/>
          <w:sz w:val="24"/>
          <w:szCs w:val="24"/>
        </w:rPr>
        <w:lastRenderedPageBreak/>
        <w:tab/>
      </w:r>
      <w:r w:rsidR="0034016B" w:rsidRPr="00DE035D">
        <w:rPr>
          <w:rFonts w:asciiTheme="majorBidi" w:hAnsiTheme="majorBidi" w:cstheme="majorBidi"/>
          <w:sz w:val="24"/>
          <w:szCs w:val="24"/>
        </w:rPr>
        <w:t xml:space="preserve">An even more dramatic break – before and after September 2008 – can be observed in the behavior of total US bank reserves. Their annual long-term normal rate of increase between January 1999 and August 2008 is about half a percent. After the Lehman </w:t>
      </w:r>
      <w:r w:rsidR="005F6A0B" w:rsidRPr="00DE035D">
        <w:rPr>
          <w:rFonts w:asciiTheme="majorBidi" w:hAnsiTheme="majorBidi" w:cstheme="majorBidi"/>
          <w:sz w:val="24"/>
          <w:szCs w:val="24"/>
        </w:rPr>
        <w:t>event and up to April 2011, this annual rate accelerated</w:t>
      </w:r>
      <w:r w:rsidR="005F6A0B">
        <w:rPr>
          <w:rFonts w:asciiTheme="majorBidi" w:hAnsiTheme="majorBidi" w:cstheme="majorBidi"/>
          <w:sz w:val="24"/>
          <w:szCs w:val="24"/>
        </w:rPr>
        <w:t xml:space="preserve"> to 100%. Figure 2</w:t>
      </w:r>
      <w:r w:rsidR="00A446D6">
        <w:rPr>
          <w:rFonts w:asciiTheme="majorBidi" w:hAnsiTheme="majorBidi" w:cstheme="majorBidi"/>
          <w:sz w:val="24"/>
          <w:szCs w:val="24"/>
        </w:rPr>
        <w:t xml:space="preserve"> shows the accumulation </w:t>
      </w:r>
      <w:r w:rsidR="005F6A0B" w:rsidRPr="00DE035D">
        <w:rPr>
          <w:rFonts w:asciiTheme="majorBidi" w:hAnsiTheme="majorBidi" w:cstheme="majorBidi"/>
          <w:sz w:val="24"/>
          <w:szCs w:val="24"/>
        </w:rPr>
        <w:t xml:space="preserve">of US banks </w:t>
      </w:r>
      <w:r w:rsidR="00A446D6">
        <w:rPr>
          <w:rFonts w:asciiTheme="majorBidi" w:hAnsiTheme="majorBidi" w:cstheme="majorBidi"/>
          <w:sz w:val="24"/>
          <w:szCs w:val="24"/>
        </w:rPr>
        <w:t xml:space="preserve">reserves </w:t>
      </w:r>
      <w:r w:rsidR="005F6A0B" w:rsidRPr="00DE035D">
        <w:rPr>
          <w:rFonts w:asciiTheme="majorBidi" w:hAnsiTheme="majorBidi" w:cstheme="majorBidi"/>
          <w:sz w:val="24"/>
          <w:szCs w:val="24"/>
        </w:rPr>
        <w:t xml:space="preserve">after September 2008. At the end of August 2008, total banking reserves stood at about $ 46 billion. A year later they were eighteen times larger!!! They did decline moderately during the second half of 2010 and then increased again by about sixty percent till the end of April 2012. </w:t>
      </w:r>
      <w:r w:rsidR="00674C02">
        <w:rPr>
          <w:rFonts w:asciiTheme="majorBidi" w:hAnsiTheme="majorBidi" w:cstheme="majorBidi"/>
          <w:sz w:val="24"/>
          <w:szCs w:val="24"/>
        </w:rPr>
        <w:t>In spite of this</w:t>
      </w:r>
      <w:r w:rsidR="00674C02" w:rsidRPr="00C5708A">
        <w:rPr>
          <w:rFonts w:asciiTheme="majorBidi" w:hAnsiTheme="majorBidi" w:cstheme="majorBidi"/>
          <w:sz w:val="24"/>
          <w:szCs w:val="24"/>
        </w:rPr>
        <w:t>, largely policy induced,</w:t>
      </w:r>
      <w:r w:rsidR="00674C02">
        <w:rPr>
          <w:rFonts w:asciiTheme="majorBidi" w:hAnsiTheme="majorBidi" w:cstheme="majorBidi"/>
          <w:sz w:val="24"/>
          <w:szCs w:val="24"/>
        </w:rPr>
        <w:t xml:space="preserve"> increase in reserves the rate of growth of banking credit remained anemic. </w:t>
      </w:r>
    </w:p>
    <w:p w:rsidR="006C2CC0" w:rsidRDefault="00674C02" w:rsidP="002665BE">
      <w:pPr>
        <w:jc w:val="both"/>
        <w:rPr>
          <w:rFonts w:asciiTheme="majorBidi" w:hAnsiTheme="majorBidi" w:cstheme="majorBidi"/>
          <w:sz w:val="24"/>
          <w:szCs w:val="24"/>
        </w:rPr>
      </w:pPr>
      <w:r>
        <w:rPr>
          <w:rFonts w:asciiTheme="majorBidi" w:hAnsiTheme="majorBidi" w:cstheme="majorBidi"/>
          <w:sz w:val="24"/>
          <w:szCs w:val="24"/>
        </w:rPr>
        <w:tab/>
      </w:r>
      <w:r w:rsidR="005F6A0B" w:rsidRPr="00DE035D">
        <w:rPr>
          <w:rFonts w:asciiTheme="majorBidi" w:hAnsiTheme="majorBidi" w:cstheme="majorBidi"/>
          <w:sz w:val="24"/>
          <w:szCs w:val="24"/>
        </w:rPr>
        <w:t>Another way to appreciate the magnitude of the</w:t>
      </w:r>
      <w:r w:rsidR="005F6A0B">
        <w:rPr>
          <w:rFonts w:asciiTheme="majorBidi" w:hAnsiTheme="majorBidi" w:cstheme="majorBidi"/>
          <w:sz w:val="24"/>
          <w:szCs w:val="24"/>
        </w:rPr>
        <w:t xml:space="preserve"> </w:t>
      </w:r>
      <w:r w:rsidR="005F6A0B" w:rsidRPr="00DE035D">
        <w:rPr>
          <w:rFonts w:asciiTheme="majorBidi" w:hAnsiTheme="majorBidi" w:cstheme="majorBidi"/>
          <w:sz w:val="24"/>
          <w:szCs w:val="24"/>
        </w:rPr>
        <w:t>ch</w:t>
      </w:r>
      <w:r w:rsidR="002665BE">
        <w:rPr>
          <w:rFonts w:asciiTheme="majorBidi" w:hAnsiTheme="majorBidi" w:cstheme="majorBidi"/>
          <w:sz w:val="24"/>
          <w:szCs w:val="24"/>
        </w:rPr>
        <w:t>ange in the behavior of US banking credit</w:t>
      </w:r>
      <w:r w:rsidR="005F6A0B" w:rsidRPr="00DE035D">
        <w:rPr>
          <w:rFonts w:asciiTheme="majorBidi" w:hAnsiTheme="majorBidi" w:cstheme="majorBidi"/>
          <w:sz w:val="24"/>
          <w:szCs w:val="24"/>
        </w:rPr>
        <w:t xml:space="preserve"> prior to and after the Lehman event is to compare the ratio between their total reserves and their total credit before and after this event.</w:t>
      </w:r>
      <w:r w:rsidR="005F6A0B">
        <w:rPr>
          <w:rFonts w:asciiTheme="majorBidi" w:hAnsiTheme="majorBidi" w:cstheme="majorBidi"/>
          <w:sz w:val="24"/>
          <w:szCs w:val="24"/>
        </w:rPr>
        <w:t xml:space="preserve"> </w:t>
      </w:r>
      <w:r w:rsidR="00023EC7">
        <w:rPr>
          <w:rFonts w:asciiTheme="majorBidi" w:hAnsiTheme="majorBidi" w:cstheme="majorBidi"/>
          <w:sz w:val="24"/>
          <w:szCs w:val="24"/>
        </w:rPr>
        <w:t xml:space="preserve">For a sustained period of time and up to </w:t>
      </w:r>
      <w:r w:rsidR="003D3355" w:rsidRPr="00DE035D">
        <w:rPr>
          <w:rFonts w:asciiTheme="majorBidi" w:hAnsiTheme="majorBidi" w:cstheme="majorBidi"/>
          <w:sz w:val="24"/>
          <w:szCs w:val="24"/>
        </w:rPr>
        <w:t>August 31 2008, th</w:t>
      </w:r>
      <w:r w:rsidR="00D65E0E">
        <w:rPr>
          <w:rFonts w:asciiTheme="majorBidi" w:hAnsiTheme="majorBidi" w:cstheme="majorBidi"/>
          <w:sz w:val="24"/>
          <w:szCs w:val="24"/>
        </w:rPr>
        <w:t>is</w:t>
      </w:r>
      <w:r w:rsidR="00023EC7">
        <w:rPr>
          <w:rFonts w:asciiTheme="majorBidi" w:hAnsiTheme="majorBidi" w:cstheme="majorBidi"/>
          <w:sz w:val="24"/>
          <w:szCs w:val="24"/>
        </w:rPr>
        <w:t xml:space="preserve"> ratio did not deviate much from </w:t>
      </w:r>
      <w:r w:rsidR="003D3355" w:rsidRPr="00DE035D">
        <w:rPr>
          <w:rFonts w:asciiTheme="majorBidi" w:hAnsiTheme="majorBidi" w:cstheme="majorBidi"/>
          <w:sz w:val="24"/>
          <w:szCs w:val="24"/>
        </w:rPr>
        <w:t>h</w:t>
      </w:r>
      <w:r w:rsidR="00023EC7">
        <w:rPr>
          <w:rFonts w:asciiTheme="majorBidi" w:hAnsiTheme="majorBidi" w:cstheme="majorBidi"/>
          <w:sz w:val="24"/>
          <w:szCs w:val="24"/>
        </w:rPr>
        <w:t>alf a percent. As illustrated</w:t>
      </w:r>
      <w:r w:rsidR="0068438F">
        <w:rPr>
          <w:rFonts w:asciiTheme="majorBidi" w:hAnsiTheme="majorBidi" w:cstheme="majorBidi"/>
          <w:sz w:val="24"/>
          <w:szCs w:val="24"/>
        </w:rPr>
        <w:t xml:space="preserve"> </w:t>
      </w:r>
      <w:r w:rsidR="00023EC7">
        <w:rPr>
          <w:rFonts w:asciiTheme="majorBidi" w:hAnsiTheme="majorBidi" w:cstheme="majorBidi"/>
          <w:sz w:val="24"/>
          <w:szCs w:val="24"/>
        </w:rPr>
        <w:t>in F</w:t>
      </w:r>
      <w:r w:rsidR="0068438F">
        <w:rPr>
          <w:rFonts w:asciiTheme="majorBidi" w:hAnsiTheme="majorBidi" w:cstheme="majorBidi"/>
          <w:sz w:val="24"/>
          <w:szCs w:val="24"/>
        </w:rPr>
        <w:t>igure 3</w:t>
      </w:r>
      <w:r w:rsidR="003D3355" w:rsidRPr="00DE035D">
        <w:rPr>
          <w:rFonts w:asciiTheme="majorBidi" w:hAnsiTheme="majorBidi" w:cstheme="majorBidi"/>
          <w:sz w:val="24"/>
          <w:szCs w:val="24"/>
        </w:rPr>
        <w:t>, it shot up d</w:t>
      </w:r>
      <w:r w:rsidR="00023EC7">
        <w:rPr>
          <w:rFonts w:asciiTheme="majorBidi" w:hAnsiTheme="majorBidi" w:cstheme="majorBidi"/>
          <w:sz w:val="24"/>
          <w:szCs w:val="24"/>
        </w:rPr>
        <w:t xml:space="preserve">ramatically immediately following </w:t>
      </w:r>
      <w:r w:rsidR="003D3355">
        <w:rPr>
          <w:rFonts w:asciiTheme="majorBidi" w:hAnsiTheme="majorBidi" w:cstheme="majorBidi"/>
          <w:sz w:val="24"/>
          <w:szCs w:val="24"/>
        </w:rPr>
        <w:t xml:space="preserve">Lehman’s demise </w:t>
      </w:r>
      <w:r w:rsidR="003D3355" w:rsidRPr="00DE035D">
        <w:rPr>
          <w:rFonts w:asciiTheme="majorBidi" w:hAnsiTheme="majorBidi" w:cstheme="majorBidi"/>
          <w:sz w:val="24"/>
          <w:szCs w:val="24"/>
        </w:rPr>
        <w:t>reaching 12.62 percent on November 30, 2009</w:t>
      </w:r>
      <w:r w:rsidR="003D3355">
        <w:rPr>
          <w:rFonts w:asciiTheme="majorBidi" w:hAnsiTheme="majorBidi" w:cstheme="majorBidi"/>
          <w:sz w:val="24"/>
          <w:szCs w:val="24"/>
        </w:rPr>
        <w:t xml:space="preserve"> (a twenty </w:t>
      </w:r>
      <w:proofErr w:type="spellStart"/>
      <w:r w:rsidR="003D3355">
        <w:rPr>
          <w:rFonts w:asciiTheme="majorBidi" w:hAnsiTheme="majorBidi" w:cstheme="majorBidi"/>
          <w:sz w:val="24"/>
          <w:szCs w:val="24"/>
        </w:rPr>
        <w:t>f</w:t>
      </w:r>
      <w:r w:rsidR="0068438F">
        <w:rPr>
          <w:rFonts w:asciiTheme="majorBidi" w:hAnsiTheme="majorBidi" w:cstheme="majorBidi"/>
          <w:sz w:val="24"/>
          <w:szCs w:val="24"/>
        </w:rPr>
        <w:t>our fold</w:t>
      </w:r>
      <w:proofErr w:type="spellEnd"/>
      <w:r w:rsidR="0068438F">
        <w:rPr>
          <w:rFonts w:asciiTheme="majorBidi" w:hAnsiTheme="majorBidi" w:cstheme="majorBidi"/>
          <w:sz w:val="24"/>
          <w:szCs w:val="24"/>
        </w:rPr>
        <w:t xml:space="preserve"> increase in the ratio</w:t>
      </w:r>
      <w:r w:rsidR="009A44F2">
        <w:rPr>
          <w:rFonts w:asciiTheme="majorBidi" w:hAnsiTheme="majorBidi" w:cstheme="majorBidi"/>
          <w:sz w:val="24"/>
          <w:szCs w:val="24"/>
        </w:rPr>
        <w:t xml:space="preserve">). </w:t>
      </w:r>
      <w:r w:rsidR="0034016B" w:rsidRPr="00A446D6">
        <w:rPr>
          <w:rFonts w:asciiTheme="majorBidi" w:hAnsiTheme="majorBidi" w:cstheme="majorBidi"/>
          <w:i/>
          <w:iCs/>
          <w:sz w:val="24"/>
          <w:szCs w:val="24"/>
        </w:rPr>
        <w:t xml:space="preserve"> </w:t>
      </w:r>
      <w:r w:rsidR="009A44F2">
        <w:rPr>
          <w:rFonts w:asciiTheme="majorBidi" w:hAnsiTheme="majorBidi" w:cstheme="majorBidi"/>
          <w:sz w:val="24"/>
          <w:szCs w:val="24"/>
        </w:rPr>
        <w:t>Thus, in spite of a huge policy in</w:t>
      </w:r>
      <w:r w:rsidR="00023EC7">
        <w:rPr>
          <w:rFonts w:asciiTheme="majorBidi" w:hAnsiTheme="majorBidi" w:cstheme="majorBidi"/>
          <w:sz w:val="24"/>
          <w:szCs w:val="24"/>
        </w:rPr>
        <w:t xml:space="preserve">duced increase in </w:t>
      </w:r>
      <w:r w:rsidR="009A44F2">
        <w:rPr>
          <w:rFonts w:asciiTheme="majorBidi" w:hAnsiTheme="majorBidi" w:cstheme="majorBidi"/>
          <w:sz w:val="24"/>
          <w:szCs w:val="24"/>
        </w:rPr>
        <w:t xml:space="preserve">reserves </w:t>
      </w:r>
      <w:r w:rsidR="00023EC7">
        <w:rPr>
          <w:rFonts w:asciiTheme="majorBidi" w:hAnsiTheme="majorBidi" w:cstheme="majorBidi"/>
          <w:sz w:val="24"/>
          <w:szCs w:val="24"/>
        </w:rPr>
        <w:t xml:space="preserve">post Lehman banking </w:t>
      </w:r>
      <w:r w:rsidR="009A44F2">
        <w:rPr>
          <w:rFonts w:asciiTheme="majorBidi" w:hAnsiTheme="majorBidi" w:cstheme="majorBidi"/>
          <w:sz w:val="24"/>
          <w:szCs w:val="24"/>
        </w:rPr>
        <w:t xml:space="preserve">credit growth </w:t>
      </w:r>
      <w:r w:rsidR="00023EC7">
        <w:rPr>
          <w:rFonts w:asciiTheme="majorBidi" w:hAnsiTheme="majorBidi" w:cstheme="majorBidi"/>
          <w:sz w:val="24"/>
          <w:szCs w:val="24"/>
        </w:rPr>
        <w:t xml:space="preserve">was minimal and even negative in 2009. </w:t>
      </w:r>
      <w:r w:rsidR="00386780">
        <w:rPr>
          <w:rFonts w:asciiTheme="majorBidi" w:hAnsiTheme="majorBidi" w:cstheme="majorBidi"/>
          <w:sz w:val="24"/>
          <w:szCs w:val="24"/>
        </w:rPr>
        <w:t xml:space="preserve"> </w:t>
      </w:r>
    </w:p>
    <w:p w:rsidR="006C2CC0" w:rsidRDefault="006C2CC0" w:rsidP="006C2CC0">
      <w:pPr>
        <w:jc w:val="both"/>
        <w:rPr>
          <w:rFonts w:asciiTheme="majorBidi" w:hAnsiTheme="majorBidi" w:cstheme="majorBidi"/>
          <w:sz w:val="24"/>
          <w:szCs w:val="24"/>
        </w:rPr>
      </w:pPr>
    </w:p>
    <w:p w:rsidR="006F25C8" w:rsidRDefault="00464A94" w:rsidP="009E244F">
      <w:pPr>
        <w:rPr>
          <w:rFonts w:asciiTheme="majorBidi" w:hAnsiTheme="majorBidi" w:cstheme="majorBidi"/>
          <w:sz w:val="24"/>
          <w:szCs w:val="24"/>
        </w:rPr>
      </w:pPr>
      <w:r w:rsidRPr="00613452">
        <w:rPr>
          <w:rFonts w:asciiTheme="majorBidi" w:hAnsiTheme="majorBidi" w:cstheme="majorBidi"/>
          <w:noProof/>
          <w:sz w:val="24"/>
          <w:szCs w:val="24"/>
        </w:rPr>
        <w:object w:dxaOrig="7183" w:dyaOrig="5399">
          <v:shape id="_x0000_i1025" type="#_x0000_t75" style="width:425.4pt;height:320.4pt" o:ole="">
            <v:imagedata r:id="rId12" o:title=""/>
          </v:shape>
          <o:OLEObject Type="Embed" ProgID="PowerPoint.Slide.12" ShapeID="_x0000_i1025" DrawAspect="Content" ObjectID="_1508435275" r:id="rId13"/>
        </w:object>
      </w:r>
    </w:p>
    <w:p w:rsidR="00D61087" w:rsidRDefault="00755A86" w:rsidP="006C2CC0">
      <w:pPr>
        <w:jc w:val="both"/>
        <w:rPr>
          <w:rFonts w:asciiTheme="majorBidi" w:hAnsiTheme="majorBidi" w:cstheme="majorBidi"/>
          <w:sz w:val="24"/>
          <w:szCs w:val="24"/>
        </w:rPr>
      </w:pPr>
      <w:r>
        <w:rPr>
          <w:rFonts w:asciiTheme="majorBidi" w:hAnsiTheme="majorBidi" w:cstheme="majorBidi"/>
          <w:sz w:val="24"/>
          <w:szCs w:val="24"/>
        </w:rPr>
        <w:tab/>
      </w:r>
      <w:r w:rsidR="0034016B">
        <w:rPr>
          <w:rFonts w:asciiTheme="majorBidi" w:hAnsiTheme="majorBidi" w:cstheme="majorBidi"/>
          <w:sz w:val="24"/>
          <w:szCs w:val="24"/>
        </w:rPr>
        <w:t>Those figures suggest that Lehman’s downfall marks a waters</w:t>
      </w:r>
      <w:r w:rsidR="002665BE">
        <w:rPr>
          <w:rFonts w:asciiTheme="majorBidi" w:hAnsiTheme="majorBidi" w:cstheme="majorBidi"/>
          <w:sz w:val="24"/>
          <w:szCs w:val="24"/>
        </w:rPr>
        <w:t xml:space="preserve">hed in the behavior of US banks credit </w:t>
      </w:r>
      <w:r w:rsidR="0034016B">
        <w:rPr>
          <w:rFonts w:asciiTheme="majorBidi" w:hAnsiTheme="majorBidi" w:cstheme="majorBidi"/>
          <w:sz w:val="24"/>
          <w:szCs w:val="24"/>
        </w:rPr>
        <w:t>raising a fundamental conceptual question about the reasons for the</w:t>
      </w:r>
      <w:r w:rsidR="00DA2DB4">
        <w:rPr>
          <w:rFonts w:asciiTheme="majorBidi" w:hAnsiTheme="majorBidi" w:cstheme="majorBidi"/>
          <w:sz w:val="24"/>
          <w:szCs w:val="24"/>
        </w:rPr>
        <w:t xml:space="preserve"> shift.</w:t>
      </w:r>
      <w:r w:rsidR="0034016B">
        <w:rPr>
          <w:rFonts w:asciiTheme="majorBidi" w:hAnsiTheme="majorBidi" w:cstheme="majorBidi"/>
          <w:sz w:val="24"/>
          <w:szCs w:val="24"/>
        </w:rPr>
        <w:t xml:space="preserve"> In view of the Fed’s actions and the general political climate prior to the collapse it is not hard to support the argument that the decision not to bailout Lehman was a surprise that increased bailout uncertainty in the immediate aftermath of the collapse. In conjunction with aversion to bailout uncertainty on the part of banks th</w:t>
      </w:r>
      <w:r w:rsidR="00674C02">
        <w:rPr>
          <w:rFonts w:asciiTheme="majorBidi" w:hAnsiTheme="majorBidi" w:cstheme="majorBidi"/>
          <w:sz w:val="24"/>
          <w:szCs w:val="24"/>
        </w:rPr>
        <w:t>is argument can explain the reluctance of US banks to lend</w:t>
      </w:r>
      <w:r w:rsidR="0034016B">
        <w:rPr>
          <w:rFonts w:asciiTheme="majorBidi" w:hAnsiTheme="majorBidi" w:cstheme="majorBidi"/>
          <w:sz w:val="24"/>
          <w:szCs w:val="24"/>
        </w:rPr>
        <w:t xml:space="preserve"> during the initial post Lehman period. But, in view of the </w:t>
      </w:r>
      <w:r w:rsidR="00386780">
        <w:rPr>
          <w:rFonts w:asciiTheme="majorBidi" w:hAnsiTheme="majorBidi" w:cstheme="majorBidi"/>
          <w:sz w:val="24"/>
          <w:szCs w:val="24"/>
        </w:rPr>
        <w:t xml:space="preserve">subsequent demonstration, </w:t>
      </w:r>
      <w:r w:rsidR="0034016B">
        <w:rPr>
          <w:rFonts w:asciiTheme="majorBidi" w:hAnsiTheme="majorBidi" w:cstheme="majorBidi"/>
          <w:sz w:val="24"/>
          <w:szCs w:val="24"/>
        </w:rPr>
        <w:t>by both the US government and the Fed</w:t>
      </w:r>
      <w:r w:rsidR="00386780">
        <w:rPr>
          <w:rFonts w:asciiTheme="majorBidi" w:hAnsiTheme="majorBidi" w:cstheme="majorBidi"/>
          <w:sz w:val="24"/>
          <w:szCs w:val="24"/>
        </w:rPr>
        <w:t>, of the resolve to avoid a</w:t>
      </w:r>
      <w:r w:rsidR="0034016B">
        <w:rPr>
          <w:rFonts w:asciiTheme="majorBidi" w:hAnsiTheme="majorBidi" w:cstheme="majorBidi"/>
          <w:sz w:val="24"/>
          <w:szCs w:val="24"/>
        </w:rPr>
        <w:t xml:space="preserve"> repetition of Lehman</w:t>
      </w:r>
      <w:r w:rsidR="00386780">
        <w:rPr>
          <w:rFonts w:asciiTheme="majorBidi" w:hAnsiTheme="majorBidi" w:cstheme="majorBidi"/>
          <w:sz w:val="24"/>
          <w:szCs w:val="24"/>
        </w:rPr>
        <w:t>’s</w:t>
      </w:r>
      <w:r w:rsidR="0034016B">
        <w:rPr>
          <w:rFonts w:asciiTheme="majorBidi" w:hAnsiTheme="majorBidi" w:cstheme="majorBidi"/>
          <w:sz w:val="24"/>
          <w:szCs w:val="24"/>
        </w:rPr>
        <w:t xml:space="preserve"> type events it is harder to explain the</w:t>
      </w:r>
      <w:r w:rsidR="0034016B" w:rsidRPr="00AE6432">
        <w:rPr>
          <w:rFonts w:asciiTheme="majorBidi" w:hAnsiTheme="majorBidi" w:cstheme="majorBidi"/>
          <w:b/>
          <w:bCs/>
          <w:sz w:val="24"/>
          <w:szCs w:val="24"/>
        </w:rPr>
        <w:t xml:space="preserve"> persistence</w:t>
      </w:r>
      <w:r w:rsidR="0034016B">
        <w:rPr>
          <w:rFonts w:asciiTheme="majorBidi" w:hAnsiTheme="majorBidi" w:cstheme="majorBidi"/>
          <w:sz w:val="24"/>
          <w:szCs w:val="24"/>
        </w:rPr>
        <w:t xml:space="preserve"> of banks cautious behavior since </w:t>
      </w:r>
      <w:r w:rsidR="00674C02">
        <w:rPr>
          <w:rFonts w:asciiTheme="majorBidi" w:hAnsiTheme="majorBidi" w:cstheme="majorBidi"/>
          <w:sz w:val="24"/>
          <w:szCs w:val="24"/>
        </w:rPr>
        <w:t>then.</w:t>
      </w:r>
      <w:r w:rsidR="00386780">
        <w:rPr>
          <w:rFonts w:asciiTheme="majorBidi" w:hAnsiTheme="majorBidi" w:cstheme="majorBidi"/>
          <w:sz w:val="24"/>
          <w:szCs w:val="24"/>
        </w:rPr>
        <w:t xml:space="preserve"> This issue is taken up </w:t>
      </w:r>
      <w:r w:rsidR="002665BE">
        <w:rPr>
          <w:rFonts w:asciiTheme="majorBidi" w:hAnsiTheme="majorBidi" w:cstheme="majorBidi"/>
          <w:sz w:val="24"/>
          <w:szCs w:val="24"/>
        </w:rPr>
        <w:t xml:space="preserve">in </w:t>
      </w:r>
      <w:r w:rsidR="00476ADF">
        <w:rPr>
          <w:rFonts w:asciiTheme="majorBidi" w:hAnsiTheme="majorBidi" w:cstheme="majorBidi"/>
          <w:sz w:val="24"/>
          <w:szCs w:val="24"/>
        </w:rPr>
        <w:t>the next</w:t>
      </w:r>
      <w:r w:rsidR="002665BE">
        <w:rPr>
          <w:rFonts w:asciiTheme="majorBidi" w:hAnsiTheme="majorBidi" w:cstheme="majorBidi"/>
          <w:sz w:val="24"/>
          <w:szCs w:val="24"/>
        </w:rPr>
        <w:t xml:space="preserve"> </w:t>
      </w:r>
      <w:r w:rsidR="00D46497">
        <w:rPr>
          <w:rFonts w:asciiTheme="majorBidi" w:hAnsiTheme="majorBidi" w:cstheme="majorBidi"/>
          <w:sz w:val="24"/>
          <w:szCs w:val="24"/>
        </w:rPr>
        <w:t>section</w:t>
      </w:r>
      <w:r w:rsidR="00674C02">
        <w:rPr>
          <w:rFonts w:asciiTheme="majorBidi" w:hAnsiTheme="majorBidi" w:cstheme="majorBidi"/>
          <w:sz w:val="24"/>
          <w:szCs w:val="24"/>
        </w:rPr>
        <w:t xml:space="preserve">. </w:t>
      </w:r>
    </w:p>
    <w:p w:rsidR="00D61087" w:rsidRPr="006C2CC0" w:rsidRDefault="00C5708A" w:rsidP="00674C02">
      <w:pPr>
        <w:ind w:right="-7"/>
        <w:rPr>
          <w:rFonts w:asciiTheme="majorBidi" w:hAnsiTheme="majorBidi" w:cstheme="majorBidi"/>
          <w:noProof/>
          <w:sz w:val="2"/>
          <w:szCs w:val="2"/>
        </w:rPr>
      </w:pPr>
      <w:r w:rsidRPr="00613452">
        <w:rPr>
          <w:rFonts w:asciiTheme="majorBidi" w:hAnsiTheme="majorBidi" w:cstheme="majorBidi"/>
          <w:noProof/>
          <w:sz w:val="24"/>
          <w:szCs w:val="24"/>
        </w:rPr>
        <w:object w:dxaOrig="7215" w:dyaOrig="5407">
          <v:shape id="_x0000_i1026" type="#_x0000_t75" style="width:435pt;height:326.4pt" o:ole="">
            <v:imagedata r:id="rId14" o:title=""/>
          </v:shape>
          <o:OLEObject Type="Embed" ProgID="PowerPoint.Slide.12" ShapeID="_x0000_i1026" DrawAspect="Content" ObjectID="_1508435276" r:id="rId15"/>
        </w:object>
      </w:r>
    </w:p>
    <w:p w:rsidR="004A782E" w:rsidRPr="004A782E" w:rsidRDefault="00063FEE" w:rsidP="004A782E">
      <w:pPr>
        <w:pStyle w:val="ListParagraph"/>
        <w:numPr>
          <w:ilvl w:val="0"/>
          <w:numId w:val="8"/>
        </w:numPr>
        <w:rPr>
          <w:rFonts w:asciiTheme="majorBidi" w:hAnsiTheme="majorBidi" w:cstheme="majorBidi"/>
          <w:b/>
          <w:bCs/>
          <w:sz w:val="28"/>
          <w:szCs w:val="28"/>
        </w:rPr>
      </w:pPr>
      <w:r>
        <w:rPr>
          <w:rFonts w:asciiTheme="majorBidi" w:hAnsiTheme="majorBidi" w:cstheme="majorBidi"/>
          <w:b/>
          <w:bCs/>
          <w:sz w:val="28"/>
          <w:szCs w:val="28"/>
        </w:rPr>
        <w:t>Change</w:t>
      </w:r>
      <w:r w:rsidR="004A782E" w:rsidRPr="004A782E">
        <w:rPr>
          <w:rFonts w:asciiTheme="majorBidi" w:hAnsiTheme="majorBidi" w:cstheme="majorBidi"/>
          <w:b/>
          <w:bCs/>
          <w:sz w:val="28"/>
          <w:szCs w:val="28"/>
        </w:rPr>
        <w:t xml:space="preserve"> in probabilistic awaren</w:t>
      </w:r>
      <w:r w:rsidR="00FB5AE3">
        <w:rPr>
          <w:rFonts w:asciiTheme="majorBidi" w:hAnsiTheme="majorBidi" w:cstheme="majorBidi"/>
          <w:b/>
          <w:bCs/>
          <w:sz w:val="28"/>
          <w:szCs w:val="28"/>
        </w:rPr>
        <w:t xml:space="preserve">ess </w:t>
      </w:r>
      <w:r>
        <w:rPr>
          <w:rFonts w:asciiTheme="majorBidi" w:hAnsiTheme="majorBidi" w:cstheme="majorBidi"/>
          <w:b/>
          <w:bCs/>
          <w:sz w:val="28"/>
          <w:szCs w:val="28"/>
        </w:rPr>
        <w:t xml:space="preserve">to low bailout probabilities </w:t>
      </w:r>
      <w:r w:rsidR="00FB5AE3">
        <w:rPr>
          <w:rFonts w:asciiTheme="majorBidi" w:hAnsiTheme="majorBidi" w:cstheme="majorBidi"/>
          <w:b/>
          <w:bCs/>
          <w:sz w:val="28"/>
          <w:szCs w:val="28"/>
        </w:rPr>
        <w:t xml:space="preserve">and other </w:t>
      </w:r>
      <w:r w:rsidR="004A782E" w:rsidRPr="004A782E">
        <w:rPr>
          <w:rFonts w:asciiTheme="majorBidi" w:hAnsiTheme="majorBidi" w:cstheme="majorBidi"/>
          <w:b/>
          <w:bCs/>
          <w:sz w:val="28"/>
          <w:szCs w:val="28"/>
        </w:rPr>
        <w:t>explanation</w:t>
      </w:r>
      <w:r w:rsidR="00FB5AE3">
        <w:rPr>
          <w:rFonts w:asciiTheme="majorBidi" w:hAnsiTheme="majorBidi" w:cstheme="majorBidi"/>
          <w:b/>
          <w:bCs/>
          <w:sz w:val="28"/>
          <w:szCs w:val="28"/>
        </w:rPr>
        <w:t>s</w:t>
      </w:r>
      <w:r w:rsidR="004A782E" w:rsidRPr="004A782E">
        <w:rPr>
          <w:rFonts w:asciiTheme="majorBidi" w:hAnsiTheme="majorBidi" w:cstheme="majorBidi"/>
          <w:b/>
          <w:bCs/>
          <w:sz w:val="28"/>
          <w:szCs w:val="28"/>
        </w:rPr>
        <w:t xml:space="preserve"> for the persistent shift in the </w:t>
      </w:r>
      <w:proofErr w:type="spellStart"/>
      <w:r w:rsidR="004A782E" w:rsidRPr="004A782E">
        <w:rPr>
          <w:rFonts w:asciiTheme="majorBidi" w:hAnsiTheme="majorBidi" w:cstheme="majorBidi"/>
          <w:b/>
          <w:bCs/>
          <w:sz w:val="28"/>
          <w:szCs w:val="28"/>
        </w:rPr>
        <w:t>portofolio</w:t>
      </w:r>
      <w:proofErr w:type="spellEnd"/>
      <w:r w:rsidR="004A782E" w:rsidRPr="004A782E">
        <w:rPr>
          <w:rFonts w:asciiTheme="majorBidi" w:hAnsiTheme="majorBidi" w:cstheme="majorBidi"/>
          <w:b/>
          <w:bCs/>
          <w:sz w:val="28"/>
          <w:szCs w:val="28"/>
        </w:rPr>
        <w:t xml:space="preserve"> of US banks</w:t>
      </w:r>
      <w:r>
        <w:rPr>
          <w:rFonts w:asciiTheme="majorBidi" w:hAnsiTheme="majorBidi" w:cstheme="majorBidi"/>
          <w:b/>
          <w:bCs/>
          <w:sz w:val="28"/>
          <w:szCs w:val="28"/>
        </w:rPr>
        <w:t xml:space="preserve"> following Lehman’s collapse</w:t>
      </w:r>
    </w:p>
    <w:p w:rsidR="00063FEE" w:rsidRDefault="004A782E" w:rsidP="00063FEE">
      <w:pPr>
        <w:contextualSpacing/>
        <w:jc w:val="both"/>
        <w:rPr>
          <w:rFonts w:asciiTheme="majorBidi" w:hAnsiTheme="majorBidi" w:cstheme="majorBidi"/>
          <w:sz w:val="24"/>
          <w:szCs w:val="24"/>
        </w:rPr>
      </w:pPr>
      <w:r>
        <w:rPr>
          <w:rFonts w:asciiTheme="majorBidi" w:hAnsiTheme="majorBidi" w:cstheme="majorBidi"/>
          <w:sz w:val="24"/>
          <w:szCs w:val="24"/>
        </w:rPr>
        <w:tab/>
        <w:t xml:space="preserve">This section develops </w:t>
      </w:r>
      <w:r w:rsidR="00063FEE">
        <w:rPr>
          <w:rFonts w:asciiTheme="majorBidi" w:hAnsiTheme="majorBidi" w:cstheme="majorBidi"/>
          <w:sz w:val="24"/>
          <w:szCs w:val="24"/>
        </w:rPr>
        <w:t>the argument that the</w:t>
      </w:r>
      <w:r>
        <w:rPr>
          <w:rFonts w:asciiTheme="majorBidi" w:hAnsiTheme="majorBidi" w:cstheme="majorBidi"/>
          <w:sz w:val="24"/>
          <w:szCs w:val="24"/>
        </w:rPr>
        <w:t xml:space="preserve"> </w:t>
      </w:r>
      <w:r w:rsidR="00063FEE">
        <w:rPr>
          <w:rFonts w:asciiTheme="majorBidi" w:hAnsiTheme="majorBidi" w:cstheme="majorBidi"/>
          <w:sz w:val="24"/>
          <w:szCs w:val="24"/>
        </w:rPr>
        <w:t xml:space="preserve">virtual arrest in the creation of </w:t>
      </w:r>
      <w:r>
        <w:rPr>
          <w:rFonts w:asciiTheme="majorBidi" w:hAnsiTheme="majorBidi" w:cstheme="majorBidi"/>
          <w:sz w:val="24"/>
          <w:szCs w:val="24"/>
        </w:rPr>
        <w:t xml:space="preserve">banking credit </w:t>
      </w:r>
      <w:r w:rsidR="00063FEE">
        <w:rPr>
          <w:rFonts w:asciiTheme="majorBidi" w:hAnsiTheme="majorBidi" w:cstheme="majorBidi"/>
          <w:sz w:val="24"/>
          <w:szCs w:val="24"/>
        </w:rPr>
        <w:t xml:space="preserve">during the first two years </w:t>
      </w:r>
      <w:proofErr w:type="spellStart"/>
      <w:r w:rsidR="00063FEE">
        <w:rPr>
          <w:rFonts w:asciiTheme="majorBidi" w:hAnsiTheme="majorBidi" w:cstheme="majorBidi"/>
          <w:sz w:val="24"/>
          <w:szCs w:val="24"/>
        </w:rPr>
        <w:t>immediatly</w:t>
      </w:r>
      <w:proofErr w:type="spellEnd"/>
      <w:r w:rsidR="00063FEE">
        <w:rPr>
          <w:rFonts w:asciiTheme="majorBidi" w:hAnsiTheme="majorBidi" w:cstheme="majorBidi"/>
          <w:sz w:val="24"/>
          <w:szCs w:val="24"/>
        </w:rPr>
        <w:t xml:space="preserve"> following Lehman’s collapse </w:t>
      </w:r>
      <w:r>
        <w:rPr>
          <w:rFonts w:asciiTheme="majorBidi" w:hAnsiTheme="majorBidi" w:cstheme="majorBidi"/>
          <w:sz w:val="24"/>
          <w:szCs w:val="24"/>
        </w:rPr>
        <w:t xml:space="preserve">is consistent with the view that the Lehman event </w:t>
      </w:r>
      <w:r w:rsidR="00063FEE">
        <w:rPr>
          <w:rFonts w:asciiTheme="majorBidi" w:hAnsiTheme="majorBidi" w:cstheme="majorBidi"/>
          <w:sz w:val="24"/>
          <w:szCs w:val="24"/>
        </w:rPr>
        <w:t xml:space="preserve">temporarily raised bailout uncertainty. The persistence of banking credit slowdown over 2011-2013 is explained, along with other more conventional mechanisms, by a persistent increase in </w:t>
      </w:r>
      <w:r>
        <w:rPr>
          <w:rFonts w:asciiTheme="majorBidi" w:hAnsiTheme="majorBidi" w:cstheme="majorBidi"/>
          <w:sz w:val="24"/>
          <w:szCs w:val="24"/>
        </w:rPr>
        <w:t xml:space="preserve">probabilistic awareness </w:t>
      </w:r>
      <w:r w:rsidR="00063FEE">
        <w:rPr>
          <w:rFonts w:asciiTheme="majorBidi" w:hAnsiTheme="majorBidi" w:cstheme="majorBidi"/>
          <w:sz w:val="24"/>
          <w:szCs w:val="24"/>
        </w:rPr>
        <w:t xml:space="preserve">on the part of banks and their creditors </w:t>
      </w:r>
      <w:r>
        <w:rPr>
          <w:rFonts w:asciiTheme="majorBidi" w:hAnsiTheme="majorBidi" w:cstheme="majorBidi"/>
          <w:sz w:val="24"/>
          <w:szCs w:val="24"/>
        </w:rPr>
        <w:t>to the possibility that even systemically important financial institutions (SIFI) will not always be bailed out.</w:t>
      </w:r>
      <w:r>
        <w:rPr>
          <w:rStyle w:val="FootnoteReference"/>
          <w:rFonts w:asciiTheme="majorBidi" w:hAnsiTheme="majorBidi" w:cstheme="majorBidi"/>
          <w:sz w:val="24"/>
          <w:szCs w:val="24"/>
        </w:rPr>
        <w:footnoteReference w:id="3"/>
      </w:r>
      <w:r>
        <w:rPr>
          <w:rFonts w:asciiTheme="majorBidi" w:hAnsiTheme="majorBidi" w:cstheme="majorBidi"/>
          <w:sz w:val="24"/>
          <w:szCs w:val="24"/>
        </w:rPr>
        <w:t xml:space="preserve"> </w:t>
      </w:r>
    </w:p>
    <w:p w:rsidR="004A782E" w:rsidRDefault="00063FEE" w:rsidP="00063FEE">
      <w:pPr>
        <w:contextualSpacing/>
        <w:jc w:val="both"/>
        <w:rPr>
          <w:rFonts w:asciiTheme="majorBidi" w:hAnsiTheme="majorBidi" w:cstheme="majorBidi"/>
          <w:sz w:val="24"/>
          <w:szCs w:val="24"/>
        </w:rPr>
      </w:pPr>
      <w:r>
        <w:rPr>
          <w:rFonts w:asciiTheme="majorBidi" w:hAnsiTheme="majorBidi" w:cstheme="majorBidi"/>
          <w:sz w:val="24"/>
          <w:szCs w:val="24"/>
        </w:rPr>
        <w:tab/>
      </w:r>
      <w:r w:rsidR="004A782E" w:rsidRPr="00B475CE">
        <w:rPr>
          <w:rFonts w:asciiTheme="majorBidi" w:hAnsiTheme="majorBidi" w:cstheme="majorBidi"/>
          <w:sz w:val="24"/>
          <w:szCs w:val="24"/>
        </w:rPr>
        <w:t xml:space="preserve">The starting point of the analysis is that prior to the crisis </w:t>
      </w:r>
      <w:r w:rsidR="004A782E">
        <w:rPr>
          <w:rFonts w:asciiTheme="majorBidi" w:hAnsiTheme="majorBidi" w:cstheme="majorBidi"/>
          <w:sz w:val="24"/>
          <w:szCs w:val="24"/>
        </w:rPr>
        <w:t>banks</w:t>
      </w:r>
      <w:r w:rsidR="004A782E" w:rsidRPr="00B475CE">
        <w:rPr>
          <w:rFonts w:asciiTheme="majorBidi" w:hAnsiTheme="majorBidi" w:cstheme="majorBidi"/>
          <w:sz w:val="24"/>
          <w:szCs w:val="24"/>
        </w:rPr>
        <w:t xml:space="preserve"> </w:t>
      </w:r>
      <w:r w:rsidR="004A782E">
        <w:rPr>
          <w:rFonts w:asciiTheme="majorBidi" w:hAnsiTheme="majorBidi" w:cstheme="majorBidi"/>
          <w:sz w:val="24"/>
          <w:szCs w:val="24"/>
        </w:rPr>
        <w:t xml:space="preserve">and other financial markets participants, like pension funds, </w:t>
      </w:r>
      <w:r w:rsidR="004A782E" w:rsidRPr="00B475CE">
        <w:rPr>
          <w:rFonts w:asciiTheme="majorBidi" w:hAnsiTheme="majorBidi" w:cstheme="majorBidi"/>
          <w:sz w:val="24"/>
          <w:szCs w:val="24"/>
        </w:rPr>
        <w:t xml:space="preserve">believed that, in case of financial difficulties, there </w:t>
      </w:r>
      <w:r w:rsidR="004A782E">
        <w:rPr>
          <w:rFonts w:asciiTheme="majorBidi" w:hAnsiTheme="majorBidi" w:cstheme="majorBidi"/>
          <w:sz w:val="24"/>
          <w:szCs w:val="24"/>
        </w:rPr>
        <w:t xml:space="preserve">is a </w:t>
      </w:r>
      <w:r w:rsidR="004A782E" w:rsidRPr="00B475CE">
        <w:rPr>
          <w:rFonts w:asciiTheme="majorBidi" w:hAnsiTheme="majorBidi" w:cstheme="majorBidi"/>
          <w:sz w:val="24"/>
          <w:szCs w:val="24"/>
        </w:rPr>
        <w:t xml:space="preserve">positive </w:t>
      </w:r>
      <w:r w:rsidR="00476ADF">
        <w:rPr>
          <w:rFonts w:asciiTheme="majorBidi" w:hAnsiTheme="majorBidi" w:cstheme="majorBidi"/>
          <w:sz w:val="24"/>
          <w:szCs w:val="24"/>
        </w:rPr>
        <w:t xml:space="preserve">and non-negligible </w:t>
      </w:r>
      <w:r w:rsidR="004A782E" w:rsidRPr="00B475CE">
        <w:rPr>
          <w:rFonts w:asciiTheme="majorBidi" w:hAnsiTheme="majorBidi" w:cstheme="majorBidi"/>
          <w:sz w:val="24"/>
          <w:szCs w:val="24"/>
        </w:rPr>
        <w:t xml:space="preserve">probability of bailout.  However they </w:t>
      </w:r>
      <w:r w:rsidR="004A782E" w:rsidRPr="00B475CE">
        <w:rPr>
          <w:rFonts w:asciiTheme="majorBidi" w:hAnsiTheme="majorBidi" w:cstheme="majorBidi"/>
          <w:sz w:val="24"/>
          <w:szCs w:val="24"/>
        </w:rPr>
        <w:lastRenderedPageBreak/>
        <w:t xml:space="preserve">were not certain in the </w:t>
      </w:r>
      <w:proofErr w:type="spellStart"/>
      <w:r w:rsidR="004A782E" w:rsidRPr="00B475CE">
        <w:rPr>
          <w:rFonts w:asciiTheme="majorBidi" w:hAnsiTheme="majorBidi" w:cstheme="majorBidi"/>
          <w:sz w:val="24"/>
          <w:szCs w:val="24"/>
        </w:rPr>
        <w:t>Knig</w:t>
      </w:r>
      <w:r w:rsidR="004A782E">
        <w:rPr>
          <w:rFonts w:asciiTheme="majorBidi" w:hAnsiTheme="majorBidi" w:cstheme="majorBidi"/>
          <w:sz w:val="24"/>
          <w:szCs w:val="24"/>
        </w:rPr>
        <w:t>ht</w:t>
      </w:r>
      <w:r w:rsidR="004A782E" w:rsidRPr="00B475CE">
        <w:rPr>
          <w:rFonts w:asciiTheme="majorBidi" w:hAnsiTheme="majorBidi" w:cstheme="majorBidi"/>
          <w:sz w:val="24"/>
          <w:szCs w:val="24"/>
        </w:rPr>
        <w:t>ian</w:t>
      </w:r>
      <w:proofErr w:type="spellEnd"/>
      <w:r w:rsidR="004A782E" w:rsidRPr="00B475CE">
        <w:rPr>
          <w:rFonts w:asciiTheme="majorBidi" w:hAnsiTheme="majorBidi" w:cstheme="majorBidi"/>
          <w:sz w:val="24"/>
          <w:szCs w:val="24"/>
        </w:rPr>
        <w:t xml:space="preserve"> sense about th</w:t>
      </w:r>
      <w:r>
        <w:rPr>
          <w:rFonts w:asciiTheme="majorBidi" w:hAnsiTheme="majorBidi" w:cstheme="majorBidi"/>
          <w:sz w:val="24"/>
          <w:szCs w:val="24"/>
        </w:rPr>
        <w:t xml:space="preserve">e likelihood of such bailouts. </w:t>
      </w:r>
      <w:r w:rsidR="004A782E" w:rsidRPr="00B475CE">
        <w:rPr>
          <w:rFonts w:asciiTheme="majorBidi" w:hAnsiTheme="majorBidi" w:cstheme="majorBidi"/>
          <w:sz w:val="24"/>
          <w:szCs w:val="24"/>
        </w:rPr>
        <w:t>Follow</w:t>
      </w:r>
      <w:r w:rsidR="00137BBA">
        <w:rPr>
          <w:rFonts w:asciiTheme="majorBidi" w:hAnsiTheme="majorBidi" w:cstheme="majorBidi"/>
          <w:sz w:val="24"/>
          <w:szCs w:val="24"/>
        </w:rPr>
        <w:t>ing Cukierman and Izhakian (2015</w:t>
      </w:r>
      <w:r w:rsidR="004A782E" w:rsidRPr="00B475CE">
        <w:rPr>
          <w:rFonts w:asciiTheme="majorBidi" w:hAnsiTheme="majorBidi" w:cstheme="majorBidi"/>
          <w:sz w:val="24"/>
          <w:szCs w:val="24"/>
        </w:rPr>
        <w:t xml:space="preserve">) (CI in the sequel) bailout uncertainty is modeled by using the multiple prior </w:t>
      </w:r>
      <w:proofErr w:type="gramStart"/>
      <w:r w:rsidR="004A782E" w:rsidRPr="00B475CE">
        <w:rPr>
          <w:rFonts w:asciiTheme="majorBidi" w:hAnsiTheme="majorBidi" w:cstheme="majorBidi"/>
          <w:sz w:val="24"/>
          <w:szCs w:val="24"/>
        </w:rPr>
        <w:t>framework</w:t>
      </w:r>
      <w:proofErr w:type="gramEnd"/>
      <w:r w:rsidR="004A782E" w:rsidRPr="00B475CE">
        <w:rPr>
          <w:rFonts w:asciiTheme="majorBidi" w:hAnsiTheme="majorBidi" w:cstheme="majorBidi"/>
          <w:sz w:val="24"/>
          <w:szCs w:val="24"/>
        </w:rPr>
        <w:t xml:space="preserve"> proposed by Gilboa and Schmeidler (1989). In this framework subjective bailout</w:t>
      </w:r>
      <w:r w:rsidR="004A782E" w:rsidRPr="00B475CE">
        <w:rPr>
          <w:rFonts w:asciiTheme="majorBidi" w:hAnsiTheme="majorBidi" w:cstheme="majorBidi"/>
          <w:b/>
          <w:bCs/>
          <w:sz w:val="24"/>
          <w:szCs w:val="24"/>
        </w:rPr>
        <w:t xml:space="preserve"> risk</w:t>
      </w:r>
      <w:r w:rsidR="004A782E" w:rsidRPr="00B475CE">
        <w:rPr>
          <w:rFonts w:asciiTheme="majorBidi" w:hAnsiTheme="majorBidi" w:cstheme="majorBidi"/>
          <w:sz w:val="24"/>
          <w:szCs w:val="24"/>
        </w:rPr>
        <w:t xml:space="preserve"> is captured by postulating that there exists a </w:t>
      </w:r>
      <w:r w:rsidR="004A782E" w:rsidRPr="00B475CE">
        <w:rPr>
          <w:rFonts w:asciiTheme="majorBidi" w:hAnsiTheme="majorBidi" w:cstheme="majorBidi"/>
          <w:b/>
          <w:bCs/>
          <w:sz w:val="24"/>
          <w:szCs w:val="24"/>
        </w:rPr>
        <w:t>single</w:t>
      </w:r>
      <w:r w:rsidR="004A782E" w:rsidRPr="00B475CE">
        <w:rPr>
          <w:rFonts w:asciiTheme="majorBidi" w:hAnsiTheme="majorBidi" w:cstheme="majorBidi"/>
          <w:sz w:val="24"/>
          <w:szCs w:val="24"/>
        </w:rPr>
        <w:t xml:space="preserve"> probability, P, that in case of insolvency on the part of a bank government (G) or the central bank (CB) will pay the bank’s debt to creditors. Subjective </w:t>
      </w:r>
      <w:r w:rsidR="004A782E" w:rsidRPr="00B475CE">
        <w:rPr>
          <w:rFonts w:asciiTheme="majorBidi" w:hAnsiTheme="majorBidi" w:cstheme="majorBidi"/>
          <w:b/>
          <w:bCs/>
          <w:sz w:val="24"/>
          <w:szCs w:val="24"/>
        </w:rPr>
        <w:t>uncertainty</w:t>
      </w:r>
      <w:r w:rsidR="004A782E" w:rsidRPr="00B475CE">
        <w:rPr>
          <w:rFonts w:asciiTheme="majorBidi" w:hAnsiTheme="majorBidi" w:cstheme="majorBidi"/>
          <w:sz w:val="24"/>
          <w:szCs w:val="24"/>
        </w:rPr>
        <w:t xml:space="preserve"> about bailouts is introduced by assuming that banks and other financial market participants are not certain about the probability, P, of a bailout and entertain the view that there is a whole range of </w:t>
      </w:r>
      <w:proofErr w:type="spellStart"/>
      <w:r w:rsidR="004A782E" w:rsidRPr="00B475CE">
        <w:rPr>
          <w:rFonts w:asciiTheme="majorBidi" w:hAnsiTheme="majorBidi" w:cstheme="majorBidi"/>
          <w:sz w:val="24"/>
          <w:szCs w:val="24"/>
        </w:rPr>
        <w:t>apriori</w:t>
      </w:r>
      <w:proofErr w:type="spellEnd"/>
      <w:r w:rsidR="004A782E" w:rsidRPr="00B475CE">
        <w:rPr>
          <w:rFonts w:asciiTheme="majorBidi" w:hAnsiTheme="majorBidi" w:cstheme="majorBidi"/>
          <w:sz w:val="24"/>
          <w:szCs w:val="24"/>
        </w:rPr>
        <w:t xml:space="preserve"> bailout probabilities with positive mass.</w:t>
      </w:r>
      <w:r w:rsidR="004A782E">
        <w:rPr>
          <w:rStyle w:val="FootnoteReference"/>
          <w:rFonts w:asciiTheme="majorBidi" w:hAnsiTheme="majorBidi" w:cstheme="majorBidi"/>
          <w:sz w:val="24"/>
          <w:szCs w:val="24"/>
        </w:rPr>
        <w:footnoteReference w:id="4"/>
      </w:r>
      <w:r w:rsidR="004A782E" w:rsidRPr="00B475CE">
        <w:rPr>
          <w:rFonts w:asciiTheme="majorBidi" w:hAnsiTheme="majorBidi" w:cstheme="majorBidi"/>
          <w:sz w:val="24"/>
          <w:szCs w:val="24"/>
        </w:rPr>
        <w:t xml:space="preserve">  </w:t>
      </w:r>
    </w:p>
    <w:p w:rsidR="004A782E" w:rsidRDefault="004A782E" w:rsidP="004A782E">
      <w:pPr>
        <w:jc w:val="both"/>
        <w:rPr>
          <w:rFonts w:asciiTheme="majorBidi" w:hAnsiTheme="majorBidi" w:cstheme="majorBidi"/>
          <w:sz w:val="24"/>
          <w:szCs w:val="24"/>
        </w:rPr>
      </w:pPr>
      <w:r>
        <w:rPr>
          <w:rFonts w:asciiTheme="majorBidi" w:hAnsiTheme="majorBidi" w:cstheme="majorBidi"/>
          <w:sz w:val="24"/>
          <w:szCs w:val="24"/>
        </w:rPr>
        <w:tab/>
      </w:r>
      <w:r w:rsidRPr="00B475CE">
        <w:rPr>
          <w:rFonts w:asciiTheme="majorBidi" w:hAnsiTheme="majorBidi" w:cstheme="majorBidi"/>
          <w:sz w:val="24"/>
          <w:szCs w:val="24"/>
        </w:rPr>
        <w:t>An increase in bailout uncertainty is then modeled as an expansion of the set of binomial multiple priors distributions. To illustrate, suppose that prior to Lehman’s downfall markets believed that the possible ran</w:t>
      </w:r>
      <w:r>
        <w:rPr>
          <w:rFonts w:asciiTheme="majorBidi" w:hAnsiTheme="majorBidi" w:cstheme="majorBidi"/>
          <w:sz w:val="24"/>
          <w:szCs w:val="24"/>
        </w:rPr>
        <w:t xml:space="preserve">ge of P is between 0.4 and 0.6. </w:t>
      </w:r>
      <w:proofErr w:type="gramStart"/>
      <w:r>
        <w:rPr>
          <w:rFonts w:asciiTheme="majorBidi" w:hAnsiTheme="majorBidi" w:cstheme="majorBidi"/>
          <w:sz w:val="24"/>
          <w:szCs w:val="24"/>
        </w:rPr>
        <w:t>so</w:t>
      </w:r>
      <w:proofErr w:type="gramEnd"/>
      <w:r>
        <w:rPr>
          <w:rFonts w:asciiTheme="majorBidi" w:hAnsiTheme="majorBidi" w:cstheme="majorBidi"/>
          <w:sz w:val="24"/>
          <w:szCs w:val="24"/>
        </w:rPr>
        <w:t xml:space="preserve"> that all other bailout probabilities were considered to be irrelevant.  </w:t>
      </w:r>
      <w:r w:rsidRPr="00B475CE">
        <w:rPr>
          <w:rFonts w:asciiTheme="majorBidi" w:hAnsiTheme="majorBidi" w:cstheme="majorBidi"/>
          <w:sz w:val="24"/>
          <w:szCs w:val="24"/>
        </w:rPr>
        <w:t>A post Lehman increase in bailout uncertainty can then be modeled as an expansion of the set of P’s with positive mass to</w:t>
      </w:r>
      <w:r>
        <w:rPr>
          <w:rFonts w:asciiTheme="majorBidi" w:hAnsiTheme="majorBidi" w:cstheme="majorBidi"/>
          <w:sz w:val="24"/>
          <w:szCs w:val="24"/>
        </w:rPr>
        <w:t xml:space="preserve"> (say) the range between 0.1 and 0.6.</w:t>
      </w:r>
      <w:r w:rsidR="00CC4A98">
        <w:rPr>
          <w:rFonts w:asciiTheme="majorBidi" w:hAnsiTheme="majorBidi" w:cstheme="majorBidi"/>
          <w:sz w:val="24"/>
          <w:szCs w:val="24"/>
        </w:rPr>
        <w:t xml:space="preserve"> This is illustrated in Figure 4</w:t>
      </w:r>
      <w:r>
        <w:rPr>
          <w:rFonts w:asciiTheme="majorBidi" w:hAnsiTheme="majorBidi" w:cstheme="majorBidi"/>
          <w:sz w:val="24"/>
          <w:szCs w:val="24"/>
        </w:rPr>
        <w:t>.</w:t>
      </w:r>
      <w:r w:rsidR="00CC4A98">
        <w:rPr>
          <w:rStyle w:val="FootnoteReference"/>
          <w:rFonts w:asciiTheme="majorBidi" w:hAnsiTheme="majorBidi" w:cstheme="majorBidi"/>
          <w:sz w:val="24"/>
          <w:szCs w:val="24"/>
        </w:rPr>
        <w:footnoteReference w:id="5"/>
      </w:r>
      <w:r>
        <w:rPr>
          <w:rFonts w:asciiTheme="majorBidi" w:hAnsiTheme="majorBidi" w:cstheme="majorBidi"/>
          <w:sz w:val="24"/>
          <w:szCs w:val="24"/>
        </w:rPr>
        <w:t xml:space="preserve"> More generally I will refer to sets </w:t>
      </w:r>
      <w:proofErr w:type="gramStart"/>
      <w:r>
        <w:rPr>
          <w:rFonts w:asciiTheme="majorBidi" w:hAnsiTheme="majorBidi" w:cstheme="majorBidi"/>
          <w:sz w:val="24"/>
          <w:szCs w:val="24"/>
        </w:rPr>
        <w:t>of  bailout</w:t>
      </w:r>
      <w:proofErr w:type="gramEnd"/>
      <w:r>
        <w:rPr>
          <w:rFonts w:asciiTheme="majorBidi" w:hAnsiTheme="majorBidi" w:cstheme="majorBidi"/>
          <w:sz w:val="24"/>
          <w:szCs w:val="24"/>
        </w:rPr>
        <w:t xml:space="preserve"> probabilities  with </w:t>
      </w:r>
      <w:proofErr w:type="spellStart"/>
      <w:r>
        <w:rPr>
          <w:rFonts w:asciiTheme="majorBidi" w:hAnsiTheme="majorBidi" w:cstheme="majorBidi"/>
          <w:sz w:val="24"/>
          <w:szCs w:val="24"/>
        </w:rPr>
        <w:t>non zero</w:t>
      </w:r>
      <w:proofErr w:type="spellEnd"/>
      <w:r>
        <w:rPr>
          <w:rFonts w:asciiTheme="majorBidi" w:hAnsiTheme="majorBidi" w:cstheme="majorBidi"/>
          <w:sz w:val="24"/>
          <w:szCs w:val="24"/>
        </w:rPr>
        <w:t xml:space="preserve"> mass as sets to which individuals are </w:t>
      </w:r>
      <w:r>
        <w:rPr>
          <w:rFonts w:asciiTheme="majorBidi" w:hAnsiTheme="majorBidi" w:cstheme="majorBidi"/>
          <w:b/>
          <w:bCs/>
          <w:sz w:val="24"/>
          <w:szCs w:val="24"/>
        </w:rPr>
        <w:t xml:space="preserve">probabilistically </w:t>
      </w:r>
      <w:r w:rsidRPr="00F3208E">
        <w:rPr>
          <w:rFonts w:asciiTheme="majorBidi" w:hAnsiTheme="majorBidi" w:cstheme="majorBidi"/>
          <w:b/>
          <w:bCs/>
          <w:sz w:val="24"/>
          <w:szCs w:val="24"/>
        </w:rPr>
        <w:t>aware</w:t>
      </w:r>
      <w:r>
        <w:rPr>
          <w:rFonts w:asciiTheme="majorBidi" w:hAnsiTheme="majorBidi" w:cstheme="majorBidi"/>
          <w:sz w:val="24"/>
          <w:szCs w:val="24"/>
        </w:rPr>
        <w:t xml:space="preserve"> to.</w:t>
      </w:r>
      <w:r>
        <w:rPr>
          <w:rStyle w:val="FootnoteReference"/>
          <w:rFonts w:asciiTheme="majorBidi" w:hAnsiTheme="majorBidi" w:cstheme="majorBidi"/>
          <w:sz w:val="24"/>
          <w:szCs w:val="24"/>
        </w:rPr>
        <w:footnoteReference w:id="6"/>
      </w:r>
      <w:r>
        <w:rPr>
          <w:rFonts w:asciiTheme="majorBidi" w:hAnsiTheme="majorBidi" w:cstheme="majorBidi"/>
          <w:sz w:val="24"/>
          <w:szCs w:val="24"/>
        </w:rPr>
        <w:t xml:space="preserve"> Using this terminology we can refer to an increase in the set of multiple priors as an </w:t>
      </w:r>
      <w:r w:rsidRPr="00F3208E">
        <w:rPr>
          <w:rFonts w:asciiTheme="majorBidi" w:hAnsiTheme="majorBidi" w:cstheme="majorBidi"/>
          <w:b/>
          <w:bCs/>
          <w:sz w:val="24"/>
          <w:szCs w:val="24"/>
        </w:rPr>
        <w:t>increase in probabilistic awareness</w:t>
      </w:r>
      <w:r>
        <w:rPr>
          <w:rFonts w:asciiTheme="majorBidi" w:hAnsiTheme="majorBidi" w:cstheme="majorBidi"/>
          <w:sz w:val="24"/>
          <w:szCs w:val="24"/>
        </w:rPr>
        <w:t>.</w:t>
      </w:r>
    </w:p>
    <w:p w:rsidR="004A782E" w:rsidRPr="006C2CC0" w:rsidRDefault="004A782E" w:rsidP="004A782E">
      <w:pPr>
        <w:jc w:val="both"/>
        <w:rPr>
          <w:rFonts w:asciiTheme="majorBidi" w:hAnsiTheme="majorBidi" w:cstheme="majorBidi"/>
          <w:sz w:val="6"/>
          <w:szCs w:val="6"/>
        </w:rPr>
      </w:pPr>
    </w:p>
    <w:p w:rsidR="004A782E" w:rsidRPr="006C2CC0" w:rsidRDefault="00EA319D" w:rsidP="00EA319D">
      <w:pPr>
        <w:jc w:val="center"/>
        <w:rPr>
          <w:rFonts w:asciiTheme="majorBidi" w:hAnsiTheme="majorBidi" w:cstheme="majorBidi"/>
          <w:sz w:val="2"/>
          <w:szCs w:val="2"/>
        </w:rPr>
      </w:pPr>
      <w:r>
        <w:rPr>
          <w:rFonts w:asciiTheme="majorBidi" w:hAnsiTheme="majorBidi" w:cstheme="majorBidi"/>
          <w:noProof/>
          <w:sz w:val="2"/>
          <w:szCs w:val="2"/>
        </w:rPr>
        <w:lastRenderedPageBreak/>
        <w:drawing>
          <wp:inline distT="0" distB="0" distL="0" distR="0">
            <wp:extent cx="5486400" cy="369189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486400" cy="3691890"/>
                    </a:xfrm>
                    <a:prstGeom prst="rect">
                      <a:avLst/>
                    </a:prstGeom>
                    <a:noFill/>
                    <a:ln w="9525">
                      <a:noFill/>
                      <a:miter lim="800000"/>
                      <a:headEnd/>
                      <a:tailEnd/>
                    </a:ln>
                  </pic:spPr>
                </pic:pic>
              </a:graphicData>
            </a:graphic>
          </wp:inline>
        </w:drawing>
      </w:r>
    </w:p>
    <w:p w:rsidR="004B2F1A" w:rsidRDefault="004A782E" w:rsidP="004A782E">
      <w:pPr>
        <w:spacing w:after="0"/>
        <w:jc w:val="both"/>
        <w:rPr>
          <w:rFonts w:asciiTheme="majorBidi" w:hAnsiTheme="majorBidi" w:cstheme="majorBidi"/>
          <w:sz w:val="24"/>
          <w:szCs w:val="24"/>
        </w:rPr>
      </w:pPr>
      <w:r>
        <w:rPr>
          <w:rFonts w:asciiTheme="majorBidi" w:hAnsiTheme="majorBidi" w:cstheme="majorBidi"/>
          <w:sz w:val="24"/>
          <w:szCs w:val="24"/>
        </w:rPr>
        <w:tab/>
        <w:t xml:space="preserve">Based on  a set of axioms similar to those postulated  by Von </w:t>
      </w:r>
      <w:proofErr w:type="spellStart"/>
      <w:r>
        <w:rPr>
          <w:rFonts w:asciiTheme="majorBidi" w:hAnsiTheme="majorBidi" w:cstheme="majorBidi"/>
          <w:sz w:val="24"/>
          <w:szCs w:val="24"/>
        </w:rPr>
        <w:t>Neuman</w:t>
      </w:r>
      <w:proofErr w:type="spellEnd"/>
      <w:r>
        <w:rPr>
          <w:rFonts w:asciiTheme="majorBidi" w:hAnsiTheme="majorBidi" w:cstheme="majorBidi"/>
          <w:sz w:val="24"/>
          <w:szCs w:val="24"/>
        </w:rPr>
        <w:t xml:space="preserve">-Morgenstern to derive the expected utility theorem Gilboa and Schmeidler (1989) show that, when faced with multiple priors,  individuals should choose the best action against the worst possible distribution (the </w:t>
      </w:r>
      <w:proofErr w:type="spellStart"/>
      <w:r>
        <w:rPr>
          <w:rFonts w:asciiTheme="majorBidi" w:hAnsiTheme="majorBidi" w:cstheme="majorBidi"/>
          <w:sz w:val="24"/>
          <w:szCs w:val="24"/>
        </w:rPr>
        <w:t>Maxmin</w:t>
      </w:r>
      <w:proofErr w:type="spellEnd"/>
      <w:r>
        <w:rPr>
          <w:rFonts w:asciiTheme="majorBidi" w:hAnsiTheme="majorBidi" w:cstheme="majorBidi"/>
          <w:sz w:val="24"/>
          <w:szCs w:val="24"/>
        </w:rPr>
        <w:t xml:space="preserve"> criterion). Continuing  the preceding illustration this means, within the CI framework, that prior to the </w:t>
      </w:r>
      <w:r w:rsidRPr="005E4634">
        <w:rPr>
          <w:rFonts w:asciiTheme="majorBidi" w:hAnsiTheme="majorBidi" w:cstheme="majorBidi"/>
          <w:sz w:val="24"/>
          <w:szCs w:val="24"/>
        </w:rPr>
        <w:t>Lehman event creditors maximized expected utility as if bailout probability was 0.4</w:t>
      </w:r>
      <w:r>
        <w:rPr>
          <w:rFonts w:asciiTheme="majorBidi" w:hAnsiTheme="majorBidi" w:cstheme="majorBidi"/>
          <w:sz w:val="24"/>
          <w:szCs w:val="24"/>
        </w:rPr>
        <w:t>, and after it, as if it was 0.1</w:t>
      </w:r>
      <w:r w:rsidR="00571D81">
        <w:rPr>
          <w:rFonts w:asciiTheme="majorBidi" w:hAnsiTheme="majorBidi" w:cstheme="majorBidi"/>
          <w:sz w:val="24"/>
          <w:szCs w:val="24"/>
        </w:rPr>
        <w:t xml:space="preserve">. CI explore the implications </w:t>
      </w:r>
      <w:r w:rsidRPr="005E4634">
        <w:rPr>
          <w:rFonts w:asciiTheme="majorBidi" w:hAnsiTheme="majorBidi" w:cstheme="majorBidi"/>
          <w:sz w:val="24"/>
          <w:szCs w:val="24"/>
        </w:rPr>
        <w:t xml:space="preserve">of such a change within a 3 sectors general equilibrium model of the financial system and show that it leads to a general contraction of </w:t>
      </w:r>
      <w:r w:rsidR="004B2F1A">
        <w:rPr>
          <w:rFonts w:asciiTheme="majorBidi" w:hAnsiTheme="majorBidi" w:cstheme="majorBidi"/>
          <w:sz w:val="24"/>
          <w:szCs w:val="24"/>
        </w:rPr>
        <w:t xml:space="preserve">banking </w:t>
      </w:r>
      <w:r w:rsidRPr="005E4634">
        <w:rPr>
          <w:rFonts w:asciiTheme="majorBidi" w:hAnsiTheme="majorBidi" w:cstheme="majorBidi"/>
          <w:sz w:val="24"/>
          <w:szCs w:val="24"/>
        </w:rPr>
        <w:t xml:space="preserve">credit, a general increase in borrowing rates and in extreme cases to total credit arrest. </w:t>
      </w:r>
    </w:p>
    <w:p w:rsidR="00B64BC6" w:rsidRDefault="004B2F1A" w:rsidP="00375928">
      <w:pPr>
        <w:spacing w:after="0"/>
        <w:jc w:val="both"/>
        <w:rPr>
          <w:rFonts w:asciiTheme="majorBidi" w:hAnsiTheme="majorBidi" w:cstheme="majorBidi"/>
          <w:sz w:val="24"/>
          <w:szCs w:val="24"/>
        </w:rPr>
      </w:pPr>
      <w:r>
        <w:rPr>
          <w:rFonts w:asciiTheme="majorBidi" w:hAnsiTheme="majorBidi" w:cstheme="majorBidi"/>
          <w:sz w:val="24"/>
          <w:szCs w:val="24"/>
        </w:rPr>
        <w:tab/>
        <w:t xml:space="preserve">At least for the first two years following the Lehman event this mechanism appears to provide a reasonable explanation for the dramatic decrease in </w:t>
      </w:r>
      <w:r w:rsidR="00D76650">
        <w:rPr>
          <w:rFonts w:asciiTheme="majorBidi" w:hAnsiTheme="majorBidi" w:cstheme="majorBidi"/>
          <w:sz w:val="24"/>
          <w:szCs w:val="24"/>
        </w:rPr>
        <w:t xml:space="preserve">banking </w:t>
      </w:r>
      <w:r>
        <w:rPr>
          <w:rFonts w:asciiTheme="majorBidi" w:hAnsiTheme="majorBidi" w:cstheme="majorBidi"/>
          <w:sz w:val="24"/>
          <w:szCs w:val="24"/>
        </w:rPr>
        <w:t>credit. But</w:t>
      </w:r>
      <w:r>
        <w:rPr>
          <w:sz w:val="24"/>
          <w:szCs w:val="24"/>
        </w:rPr>
        <w:t xml:space="preserve">, </w:t>
      </w:r>
      <w:r w:rsidRPr="004B2F1A">
        <w:rPr>
          <w:rFonts w:asciiTheme="majorBidi" w:hAnsiTheme="majorBidi" w:cstheme="majorBidi"/>
          <w:sz w:val="24"/>
          <w:szCs w:val="24"/>
        </w:rPr>
        <w:t xml:space="preserve">in </w:t>
      </w:r>
      <w:r w:rsidR="000505EF">
        <w:rPr>
          <w:rFonts w:asciiTheme="majorBidi" w:hAnsiTheme="majorBidi" w:cstheme="majorBidi"/>
          <w:sz w:val="24"/>
          <w:szCs w:val="24"/>
        </w:rPr>
        <w:t xml:space="preserve">view of the subsequent policy </w:t>
      </w:r>
      <w:r w:rsidRPr="004B2F1A">
        <w:rPr>
          <w:rFonts w:asciiTheme="majorBidi" w:hAnsiTheme="majorBidi" w:cstheme="majorBidi"/>
          <w:sz w:val="24"/>
          <w:szCs w:val="24"/>
        </w:rPr>
        <w:t>actions of the US government and the Fed it should have gradually become clear to the public that those institutions will go to great lengths to prevent the recurrence of a Lehman type event. It therefore appears reasonable to believe that, within a year or two after this event bai</w:t>
      </w:r>
      <w:r w:rsidR="000505EF">
        <w:rPr>
          <w:rFonts w:asciiTheme="majorBidi" w:hAnsiTheme="majorBidi" w:cstheme="majorBidi"/>
          <w:sz w:val="24"/>
          <w:szCs w:val="24"/>
        </w:rPr>
        <w:t xml:space="preserve">lout ambiguity receded </w:t>
      </w:r>
      <w:r w:rsidRPr="004B2F1A">
        <w:rPr>
          <w:rFonts w:asciiTheme="majorBidi" w:hAnsiTheme="majorBidi" w:cstheme="majorBidi"/>
          <w:sz w:val="24"/>
          <w:szCs w:val="24"/>
        </w:rPr>
        <w:t>to levels similar to those that existed in the pre-Lehman’s era.</w:t>
      </w:r>
      <w:r w:rsidR="000505EF">
        <w:rPr>
          <w:rFonts w:asciiTheme="majorBidi" w:hAnsiTheme="majorBidi" w:cstheme="majorBidi"/>
          <w:sz w:val="24"/>
          <w:szCs w:val="24"/>
        </w:rPr>
        <w:t xml:space="preserve"> </w:t>
      </w:r>
    </w:p>
    <w:p w:rsidR="00126CAF" w:rsidRDefault="00B64BC6" w:rsidP="00126CAF">
      <w:pPr>
        <w:spacing w:after="0"/>
        <w:jc w:val="both"/>
        <w:rPr>
          <w:rFonts w:asciiTheme="majorBidi" w:hAnsiTheme="majorBidi" w:cstheme="majorBidi"/>
          <w:sz w:val="24"/>
          <w:szCs w:val="24"/>
        </w:rPr>
      </w:pPr>
      <w:r>
        <w:rPr>
          <w:rFonts w:asciiTheme="majorBidi" w:hAnsiTheme="majorBidi" w:cstheme="majorBidi"/>
          <w:sz w:val="24"/>
          <w:szCs w:val="24"/>
        </w:rPr>
        <w:lastRenderedPageBreak/>
        <w:tab/>
      </w:r>
      <w:r w:rsidR="000505EF">
        <w:rPr>
          <w:rFonts w:asciiTheme="majorBidi" w:hAnsiTheme="majorBidi" w:cstheme="majorBidi"/>
          <w:sz w:val="24"/>
          <w:szCs w:val="24"/>
        </w:rPr>
        <w:t xml:space="preserve">However, in spite of some pickup in </w:t>
      </w:r>
      <w:proofErr w:type="gramStart"/>
      <w:r w:rsidR="000505EF">
        <w:rPr>
          <w:rFonts w:asciiTheme="majorBidi" w:hAnsiTheme="majorBidi" w:cstheme="majorBidi"/>
          <w:sz w:val="24"/>
          <w:szCs w:val="24"/>
        </w:rPr>
        <w:t>2012 ,</w:t>
      </w:r>
      <w:proofErr w:type="gramEnd"/>
      <w:r w:rsidR="000505EF">
        <w:rPr>
          <w:rFonts w:asciiTheme="majorBidi" w:hAnsiTheme="majorBidi" w:cstheme="majorBidi"/>
          <w:sz w:val="24"/>
          <w:szCs w:val="24"/>
        </w:rPr>
        <w:t xml:space="preserve"> the lull in banking credit persisted through 2013.</w:t>
      </w:r>
      <w:r w:rsidR="00D76650">
        <w:rPr>
          <w:rStyle w:val="FootnoteReference"/>
          <w:rFonts w:asciiTheme="majorBidi" w:hAnsiTheme="majorBidi" w:cstheme="majorBidi"/>
          <w:sz w:val="24"/>
          <w:szCs w:val="24"/>
        </w:rPr>
        <w:footnoteReference w:id="7"/>
      </w:r>
      <w:r w:rsidR="000505EF">
        <w:rPr>
          <w:rFonts w:asciiTheme="majorBidi" w:hAnsiTheme="majorBidi" w:cstheme="majorBidi"/>
          <w:sz w:val="24"/>
          <w:szCs w:val="24"/>
        </w:rPr>
        <w:t xml:space="preserve"> </w:t>
      </w:r>
      <w:r w:rsidR="00D76650">
        <w:rPr>
          <w:rFonts w:asciiTheme="majorBidi" w:hAnsiTheme="majorBidi" w:cstheme="majorBidi"/>
          <w:sz w:val="24"/>
          <w:szCs w:val="24"/>
        </w:rPr>
        <w:t xml:space="preserve">There are several </w:t>
      </w:r>
      <w:proofErr w:type="spellStart"/>
      <w:r w:rsidR="00D76650">
        <w:rPr>
          <w:rFonts w:asciiTheme="majorBidi" w:hAnsiTheme="majorBidi" w:cstheme="majorBidi"/>
          <w:sz w:val="24"/>
          <w:szCs w:val="24"/>
        </w:rPr>
        <w:t>non exclusive</w:t>
      </w:r>
      <w:proofErr w:type="spellEnd"/>
      <w:r w:rsidR="00D76650">
        <w:rPr>
          <w:rFonts w:asciiTheme="majorBidi" w:hAnsiTheme="majorBidi" w:cstheme="majorBidi"/>
          <w:sz w:val="24"/>
          <w:szCs w:val="24"/>
        </w:rPr>
        <w:t xml:space="preserve"> </w:t>
      </w:r>
      <w:r w:rsidR="00D4478F">
        <w:rPr>
          <w:rFonts w:asciiTheme="majorBidi" w:hAnsiTheme="majorBidi" w:cstheme="majorBidi"/>
          <w:sz w:val="24"/>
          <w:szCs w:val="24"/>
        </w:rPr>
        <w:t>economic</w:t>
      </w:r>
      <w:r w:rsidR="00AF650B">
        <w:rPr>
          <w:rFonts w:asciiTheme="majorBidi" w:hAnsiTheme="majorBidi" w:cstheme="majorBidi"/>
          <w:sz w:val="24"/>
          <w:szCs w:val="24"/>
        </w:rPr>
        <w:t xml:space="preserve"> </w:t>
      </w:r>
      <w:r w:rsidR="00D76650">
        <w:rPr>
          <w:rFonts w:asciiTheme="majorBidi" w:hAnsiTheme="majorBidi" w:cstheme="majorBidi"/>
          <w:sz w:val="24"/>
          <w:szCs w:val="24"/>
        </w:rPr>
        <w:t>explanations for this phenomenon.</w:t>
      </w:r>
      <w:r w:rsidR="00AF650B">
        <w:rPr>
          <w:rFonts w:asciiTheme="majorBidi" w:hAnsiTheme="majorBidi" w:cstheme="majorBidi"/>
          <w:sz w:val="24"/>
          <w:szCs w:val="24"/>
        </w:rPr>
        <w:t xml:space="preserve"> First is the need of banks to rebuild their equity positions that deteriorated in the wake of the September 2008 panic. This was reinforced by </w:t>
      </w:r>
      <w:r w:rsidR="008E3101">
        <w:rPr>
          <w:rFonts w:asciiTheme="majorBidi" w:hAnsiTheme="majorBidi" w:cstheme="majorBidi"/>
          <w:sz w:val="24"/>
          <w:szCs w:val="24"/>
        </w:rPr>
        <w:t xml:space="preserve">toughening of banking regulation through the 2010 Dodd-Frank Act and </w:t>
      </w:r>
      <w:r w:rsidR="00375928">
        <w:rPr>
          <w:rFonts w:asciiTheme="majorBidi" w:hAnsiTheme="majorBidi" w:cstheme="majorBidi"/>
          <w:sz w:val="24"/>
          <w:szCs w:val="24"/>
        </w:rPr>
        <w:t>related channels</w:t>
      </w:r>
      <w:r w:rsidR="008E3101">
        <w:rPr>
          <w:rFonts w:asciiTheme="majorBidi" w:hAnsiTheme="majorBidi" w:cstheme="majorBidi"/>
          <w:sz w:val="24"/>
          <w:szCs w:val="24"/>
        </w:rPr>
        <w:t>.</w:t>
      </w:r>
      <w:r w:rsidR="00375928">
        <w:rPr>
          <w:rFonts w:asciiTheme="majorBidi" w:hAnsiTheme="majorBidi" w:cstheme="majorBidi"/>
          <w:sz w:val="24"/>
          <w:szCs w:val="24"/>
        </w:rPr>
        <w:t xml:space="preserve"> The imposition of tougher capital requirement </w:t>
      </w:r>
      <w:r>
        <w:rPr>
          <w:rFonts w:asciiTheme="majorBidi" w:hAnsiTheme="majorBidi" w:cstheme="majorBidi"/>
          <w:sz w:val="24"/>
          <w:szCs w:val="24"/>
        </w:rPr>
        <w:t xml:space="preserve">(CAR) </w:t>
      </w:r>
      <w:r w:rsidR="00375928">
        <w:rPr>
          <w:rFonts w:asciiTheme="majorBidi" w:hAnsiTheme="majorBidi" w:cstheme="majorBidi"/>
          <w:sz w:val="24"/>
          <w:szCs w:val="24"/>
        </w:rPr>
        <w:t xml:space="preserve">and liquidity coverage ratios under Basel III since 2010 along with </w:t>
      </w:r>
      <w:r>
        <w:rPr>
          <w:rFonts w:asciiTheme="majorBidi" w:hAnsiTheme="majorBidi" w:cstheme="majorBidi"/>
          <w:sz w:val="24"/>
          <w:szCs w:val="24"/>
        </w:rPr>
        <w:t xml:space="preserve">stress tests and the imposition of </w:t>
      </w:r>
      <w:r w:rsidR="00375928">
        <w:rPr>
          <w:rFonts w:asciiTheme="majorBidi" w:hAnsiTheme="majorBidi" w:cstheme="majorBidi"/>
          <w:sz w:val="24"/>
          <w:szCs w:val="24"/>
        </w:rPr>
        <w:t xml:space="preserve">limits on the ability to move securitized assets off balance sheet </w:t>
      </w:r>
      <w:r>
        <w:rPr>
          <w:rFonts w:asciiTheme="majorBidi" w:hAnsiTheme="majorBidi" w:cstheme="majorBidi"/>
          <w:sz w:val="24"/>
          <w:szCs w:val="24"/>
        </w:rPr>
        <w:t xml:space="preserve">limited the ability and willingness of banks to extend credit. </w:t>
      </w:r>
      <w:r w:rsidR="00375928">
        <w:rPr>
          <w:rFonts w:asciiTheme="majorBidi" w:hAnsiTheme="majorBidi" w:cstheme="majorBidi"/>
          <w:sz w:val="24"/>
          <w:szCs w:val="24"/>
        </w:rPr>
        <w:t>Although t</w:t>
      </w:r>
      <w:r>
        <w:rPr>
          <w:rFonts w:asciiTheme="majorBidi" w:hAnsiTheme="majorBidi" w:cstheme="majorBidi"/>
          <w:sz w:val="24"/>
          <w:szCs w:val="24"/>
        </w:rPr>
        <w:t>he increase</w:t>
      </w:r>
      <w:r w:rsidR="008E3101">
        <w:rPr>
          <w:rFonts w:asciiTheme="majorBidi" w:hAnsiTheme="majorBidi" w:cstheme="majorBidi"/>
          <w:sz w:val="24"/>
          <w:szCs w:val="24"/>
        </w:rPr>
        <w:t xml:space="preserve"> </w:t>
      </w:r>
      <w:r>
        <w:rPr>
          <w:rFonts w:asciiTheme="majorBidi" w:hAnsiTheme="majorBidi" w:cstheme="majorBidi"/>
          <w:sz w:val="24"/>
          <w:szCs w:val="24"/>
        </w:rPr>
        <w:t>in CAR</w:t>
      </w:r>
      <w:r w:rsidR="008E3101" w:rsidRPr="008E3101">
        <w:rPr>
          <w:rFonts w:asciiTheme="majorBidi" w:hAnsiTheme="majorBidi" w:cstheme="majorBidi"/>
          <w:sz w:val="24"/>
          <w:szCs w:val="24"/>
        </w:rPr>
        <w:t xml:space="preserve"> </w:t>
      </w:r>
      <w:r w:rsidR="00375928">
        <w:rPr>
          <w:rFonts w:asciiTheme="majorBidi" w:hAnsiTheme="majorBidi" w:cstheme="majorBidi"/>
          <w:sz w:val="24"/>
          <w:szCs w:val="24"/>
        </w:rPr>
        <w:t>is being phased in gradually</w:t>
      </w:r>
      <w:r>
        <w:rPr>
          <w:rFonts w:asciiTheme="majorBidi" w:hAnsiTheme="majorBidi" w:cstheme="majorBidi"/>
          <w:sz w:val="24"/>
          <w:szCs w:val="24"/>
        </w:rPr>
        <w:t xml:space="preserve"> the advance announcement of such future measures impact</w:t>
      </w:r>
      <w:r w:rsidR="00D4478F">
        <w:rPr>
          <w:rFonts w:asciiTheme="majorBidi" w:hAnsiTheme="majorBidi" w:cstheme="majorBidi"/>
          <w:sz w:val="24"/>
          <w:szCs w:val="24"/>
        </w:rPr>
        <w:t>s</w:t>
      </w:r>
      <w:r>
        <w:rPr>
          <w:rFonts w:asciiTheme="majorBidi" w:hAnsiTheme="majorBidi" w:cstheme="majorBidi"/>
          <w:sz w:val="24"/>
          <w:szCs w:val="24"/>
        </w:rPr>
        <w:t xml:space="preserve"> banks’ decisio</w:t>
      </w:r>
      <w:r w:rsidR="00126CAF">
        <w:rPr>
          <w:rFonts w:asciiTheme="majorBidi" w:hAnsiTheme="majorBidi" w:cstheme="majorBidi"/>
          <w:sz w:val="24"/>
          <w:szCs w:val="24"/>
        </w:rPr>
        <w:t xml:space="preserve">ns before the actual regulation becomes effective. </w:t>
      </w:r>
      <w:r w:rsidR="00FB26D9">
        <w:rPr>
          <w:rFonts w:asciiTheme="majorBidi" w:hAnsiTheme="majorBidi" w:cstheme="majorBidi"/>
          <w:sz w:val="24"/>
          <w:szCs w:val="24"/>
        </w:rPr>
        <w:t xml:space="preserve">The effect of the Basel III net stable funding ratios (NSFR) to be gradually imposed on large banks in the future is similar. </w:t>
      </w:r>
      <w:r w:rsidR="00A8307A">
        <w:rPr>
          <w:rFonts w:asciiTheme="majorBidi" w:hAnsiTheme="majorBidi" w:cstheme="majorBidi"/>
          <w:sz w:val="24"/>
          <w:szCs w:val="24"/>
        </w:rPr>
        <w:t xml:space="preserve">In addition, by lowering the value of assets of households and businesses, the crisis reduced the value of acceptable (to banks) collateral assets. </w:t>
      </w:r>
      <w:r w:rsidR="00126CAF">
        <w:rPr>
          <w:rFonts w:asciiTheme="majorBidi" w:hAnsiTheme="majorBidi" w:cstheme="majorBidi"/>
          <w:sz w:val="24"/>
          <w:szCs w:val="24"/>
        </w:rPr>
        <w:t xml:space="preserve">Since </w:t>
      </w:r>
      <w:r w:rsidR="00277596">
        <w:rPr>
          <w:rFonts w:asciiTheme="majorBidi" w:hAnsiTheme="majorBidi" w:cstheme="majorBidi"/>
          <w:sz w:val="24"/>
          <w:szCs w:val="24"/>
        </w:rPr>
        <w:t>the above</w:t>
      </w:r>
      <w:r w:rsidR="00126CAF">
        <w:rPr>
          <w:rFonts w:asciiTheme="majorBidi" w:hAnsiTheme="majorBidi" w:cstheme="majorBidi"/>
          <w:sz w:val="24"/>
          <w:szCs w:val="24"/>
        </w:rPr>
        <w:t xml:space="preserve"> </w:t>
      </w:r>
      <w:r w:rsidR="00277596">
        <w:rPr>
          <w:rFonts w:asciiTheme="majorBidi" w:hAnsiTheme="majorBidi" w:cstheme="majorBidi"/>
          <w:sz w:val="24"/>
          <w:szCs w:val="24"/>
        </w:rPr>
        <w:t xml:space="preserve">mechanisms </w:t>
      </w:r>
      <w:r w:rsidR="00126CAF">
        <w:rPr>
          <w:rFonts w:asciiTheme="majorBidi" w:hAnsiTheme="majorBidi" w:cstheme="majorBidi"/>
          <w:sz w:val="24"/>
          <w:szCs w:val="24"/>
        </w:rPr>
        <w:t>were triggered by the financial crisis there is a sense in which</w:t>
      </w:r>
      <w:r w:rsidR="00277596">
        <w:rPr>
          <w:rFonts w:asciiTheme="majorBidi" w:hAnsiTheme="majorBidi" w:cstheme="majorBidi"/>
          <w:sz w:val="24"/>
          <w:szCs w:val="24"/>
        </w:rPr>
        <w:t>, beyond its immediate impact,</w:t>
      </w:r>
      <w:r w:rsidR="00126CAF">
        <w:rPr>
          <w:rFonts w:asciiTheme="majorBidi" w:hAnsiTheme="majorBidi" w:cstheme="majorBidi"/>
          <w:sz w:val="24"/>
          <w:szCs w:val="24"/>
        </w:rPr>
        <w:t xml:space="preserve"> the crisis induced longer term processes </w:t>
      </w:r>
      <w:r w:rsidR="00277596">
        <w:rPr>
          <w:rFonts w:asciiTheme="majorBidi" w:hAnsiTheme="majorBidi" w:cstheme="majorBidi"/>
          <w:sz w:val="24"/>
          <w:szCs w:val="24"/>
        </w:rPr>
        <w:t>that increased th</w:t>
      </w:r>
      <w:r w:rsidR="00AE1197">
        <w:rPr>
          <w:rFonts w:asciiTheme="majorBidi" w:hAnsiTheme="majorBidi" w:cstheme="majorBidi"/>
          <w:sz w:val="24"/>
          <w:szCs w:val="24"/>
        </w:rPr>
        <w:t>e persis</w:t>
      </w:r>
      <w:r w:rsidR="00277596">
        <w:rPr>
          <w:rFonts w:asciiTheme="majorBidi" w:hAnsiTheme="majorBidi" w:cstheme="majorBidi"/>
          <w:sz w:val="24"/>
          <w:szCs w:val="24"/>
        </w:rPr>
        <w:t xml:space="preserve">tence of credit slowdown. </w:t>
      </w:r>
      <w:r>
        <w:rPr>
          <w:rFonts w:asciiTheme="majorBidi" w:hAnsiTheme="majorBidi" w:cstheme="majorBidi"/>
          <w:sz w:val="24"/>
          <w:szCs w:val="24"/>
        </w:rPr>
        <w:t xml:space="preserve">  </w:t>
      </w:r>
      <w:r w:rsidR="00375928">
        <w:rPr>
          <w:rFonts w:asciiTheme="majorBidi" w:hAnsiTheme="majorBidi" w:cstheme="majorBidi"/>
          <w:sz w:val="24"/>
          <w:szCs w:val="24"/>
        </w:rPr>
        <w:t xml:space="preserve"> </w:t>
      </w:r>
      <w:r w:rsidR="008E3101">
        <w:rPr>
          <w:rFonts w:asciiTheme="majorBidi" w:hAnsiTheme="majorBidi" w:cstheme="majorBidi"/>
          <w:sz w:val="24"/>
          <w:szCs w:val="24"/>
        </w:rPr>
        <w:t xml:space="preserve"> </w:t>
      </w:r>
      <w:r w:rsidR="00AF650B">
        <w:rPr>
          <w:rFonts w:asciiTheme="majorBidi" w:hAnsiTheme="majorBidi" w:cstheme="majorBidi"/>
          <w:sz w:val="24"/>
          <w:szCs w:val="24"/>
        </w:rPr>
        <w:t xml:space="preserve"> </w:t>
      </w:r>
      <w:r w:rsidR="004A782E" w:rsidRPr="004B2F1A">
        <w:rPr>
          <w:rFonts w:asciiTheme="majorBidi" w:hAnsiTheme="majorBidi" w:cstheme="majorBidi"/>
          <w:sz w:val="24"/>
          <w:szCs w:val="24"/>
        </w:rPr>
        <w:tab/>
      </w:r>
    </w:p>
    <w:p w:rsidR="004A782E" w:rsidRDefault="00126CAF" w:rsidP="00126CAF">
      <w:pPr>
        <w:spacing w:after="0"/>
        <w:jc w:val="both"/>
        <w:rPr>
          <w:rFonts w:asciiTheme="majorBidi" w:hAnsiTheme="majorBidi" w:cstheme="majorBidi"/>
          <w:sz w:val="24"/>
          <w:szCs w:val="24"/>
        </w:rPr>
      </w:pPr>
      <w:r>
        <w:rPr>
          <w:rFonts w:asciiTheme="majorBidi" w:hAnsiTheme="majorBidi" w:cstheme="majorBidi"/>
          <w:sz w:val="24"/>
          <w:szCs w:val="24"/>
        </w:rPr>
        <w:tab/>
        <w:t>Beyond</w:t>
      </w:r>
      <w:r w:rsidR="004A782E" w:rsidRPr="00E95CB0">
        <w:rPr>
          <w:rFonts w:asciiTheme="majorBidi" w:hAnsiTheme="majorBidi" w:cstheme="majorBidi"/>
          <w:sz w:val="24"/>
          <w:szCs w:val="24"/>
        </w:rPr>
        <w:t xml:space="preserve"> </w:t>
      </w:r>
      <w:r>
        <w:rPr>
          <w:rFonts w:asciiTheme="majorBidi" w:hAnsiTheme="majorBidi" w:cstheme="majorBidi"/>
          <w:sz w:val="24"/>
          <w:szCs w:val="24"/>
        </w:rPr>
        <w:t>those economic explanations</w:t>
      </w:r>
      <w:r w:rsidR="00CE0A02">
        <w:rPr>
          <w:rFonts w:asciiTheme="majorBidi" w:hAnsiTheme="majorBidi" w:cstheme="majorBidi"/>
          <w:sz w:val="24"/>
          <w:szCs w:val="24"/>
        </w:rPr>
        <w:t xml:space="preserve"> the multiple priors framework outlined above</w:t>
      </w:r>
      <w:r w:rsidR="00344E45">
        <w:rPr>
          <w:rFonts w:asciiTheme="majorBidi" w:hAnsiTheme="majorBidi" w:cstheme="majorBidi"/>
          <w:sz w:val="24"/>
          <w:szCs w:val="24"/>
        </w:rPr>
        <w:t xml:space="preserve"> </w:t>
      </w:r>
      <w:r w:rsidR="00CE0A02">
        <w:rPr>
          <w:rFonts w:asciiTheme="majorBidi" w:hAnsiTheme="majorBidi" w:cstheme="majorBidi"/>
          <w:sz w:val="24"/>
          <w:szCs w:val="24"/>
        </w:rPr>
        <w:t xml:space="preserve">provides an additional </w:t>
      </w:r>
      <w:r w:rsidR="003B5F70">
        <w:rPr>
          <w:rFonts w:asciiTheme="majorBidi" w:hAnsiTheme="majorBidi" w:cstheme="majorBidi"/>
          <w:sz w:val="24"/>
          <w:szCs w:val="24"/>
        </w:rPr>
        <w:t xml:space="preserve">possible </w:t>
      </w:r>
      <w:r w:rsidR="00CE0A02">
        <w:rPr>
          <w:rFonts w:asciiTheme="majorBidi" w:hAnsiTheme="majorBidi" w:cstheme="majorBidi"/>
          <w:sz w:val="24"/>
          <w:szCs w:val="24"/>
        </w:rPr>
        <w:t xml:space="preserve">explanation for the persistence of low credit growth. This framework </w:t>
      </w:r>
      <w:r w:rsidR="004A782E" w:rsidRPr="00E95CB0">
        <w:rPr>
          <w:rFonts w:asciiTheme="majorBidi" w:hAnsiTheme="majorBidi" w:cstheme="majorBidi"/>
          <w:sz w:val="24"/>
          <w:szCs w:val="24"/>
        </w:rPr>
        <w:t>implies that an expansion of the set of multiple priors can occur either because bailout uncertainty has increased, because the aversion to this uncertainty has increased or because of a combination of both factors. Thus, beliefs are not the sole determinant of an individual's subjecti</w:t>
      </w:r>
      <w:r w:rsidR="004A782E">
        <w:rPr>
          <w:rFonts w:asciiTheme="majorBidi" w:hAnsiTheme="majorBidi" w:cstheme="majorBidi"/>
          <w:sz w:val="24"/>
          <w:szCs w:val="24"/>
        </w:rPr>
        <w:t xml:space="preserve">ve set of priors. His attitude </w:t>
      </w:r>
      <w:r w:rsidR="004A782E" w:rsidRPr="00E95CB0">
        <w:rPr>
          <w:rFonts w:asciiTheme="majorBidi" w:hAnsiTheme="majorBidi" w:cstheme="majorBidi"/>
          <w:sz w:val="24"/>
          <w:szCs w:val="24"/>
        </w:rPr>
        <w:t xml:space="preserve">toward bailout uncertainty </w:t>
      </w:r>
      <w:r w:rsidR="004A782E">
        <w:rPr>
          <w:rFonts w:asciiTheme="majorBidi" w:hAnsiTheme="majorBidi" w:cstheme="majorBidi"/>
          <w:sz w:val="24"/>
          <w:szCs w:val="24"/>
        </w:rPr>
        <w:t xml:space="preserve">may </w:t>
      </w:r>
      <w:r w:rsidR="004A782E" w:rsidRPr="00E95CB0">
        <w:rPr>
          <w:rFonts w:asciiTheme="majorBidi" w:hAnsiTheme="majorBidi" w:cstheme="majorBidi"/>
          <w:sz w:val="24"/>
          <w:szCs w:val="24"/>
        </w:rPr>
        <w:t>also matters</w:t>
      </w:r>
      <w:r w:rsidR="004A782E">
        <w:rPr>
          <w:rFonts w:asciiTheme="majorBidi" w:hAnsiTheme="majorBidi" w:cstheme="majorBidi"/>
          <w:sz w:val="24"/>
          <w:szCs w:val="24"/>
        </w:rPr>
        <w:t xml:space="preserve">. </w:t>
      </w:r>
      <w:r w:rsidR="004A782E" w:rsidRPr="00E95CB0">
        <w:rPr>
          <w:rFonts w:asciiTheme="majorBidi" w:hAnsiTheme="majorBidi" w:cstheme="majorBidi"/>
          <w:sz w:val="24"/>
          <w:szCs w:val="24"/>
        </w:rPr>
        <w:t>In particular, suppose two individuals share the same subjective information, i.e., they both believe the same set of bail</w:t>
      </w:r>
      <w:r w:rsidR="004A782E">
        <w:rPr>
          <w:rFonts w:asciiTheme="majorBidi" w:hAnsiTheme="majorBidi" w:cstheme="majorBidi"/>
          <w:sz w:val="24"/>
          <w:szCs w:val="24"/>
        </w:rPr>
        <w:t xml:space="preserve">out probabilities are possible. </w:t>
      </w:r>
      <w:r w:rsidR="004A782E" w:rsidRPr="00E95CB0">
        <w:rPr>
          <w:rFonts w:asciiTheme="majorBidi" w:hAnsiTheme="majorBidi" w:cstheme="majorBidi"/>
          <w:sz w:val="24"/>
          <w:szCs w:val="24"/>
        </w:rPr>
        <w:t xml:space="preserve">Then modern decision theory implies that the set of multiple priors of the less ambiguity </w:t>
      </w:r>
      <w:proofErr w:type="gramStart"/>
      <w:r w:rsidR="004A782E" w:rsidRPr="00E95CB0">
        <w:rPr>
          <w:rFonts w:asciiTheme="majorBidi" w:hAnsiTheme="majorBidi" w:cstheme="majorBidi"/>
          <w:sz w:val="24"/>
          <w:szCs w:val="24"/>
        </w:rPr>
        <w:t>averse</w:t>
      </w:r>
      <w:proofErr w:type="gramEnd"/>
      <w:r w:rsidR="004A782E" w:rsidRPr="00E95CB0">
        <w:rPr>
          <w:rFonts w:asciiTheme="majorBidi" w:hAnsiTheme="majorBidi" w:cstheme="majorBidi"/>
          <w:sz w:val="24"/>
          <w:szCs w:val="24"/>
        </w:rPr>
        <w:t xml:space="preserve"> individual is a subset of the set of multiple priors of the more ambiguity averse individual (Theorem 17-(ii) in </w:t>
      </w:r>
      <w:proofErr w:type="spellStart"/>
      <w:r w:rsidR="004A782E" w:rsidRPr="00E95CB0">
        <w:rPr>
          <w:rFonts w:asciiTheme="majorBidi" w:hAnsiTheme="majorBidi" w:cstheme="majorBidi"/>
          <w:sz w:val="24"/>
          <w:szCs w:val="24"/>
        </w:rPr>
        <w:t>Ghirardato</w:t>
      </w:r>
      <w:proofErr w:type="spellEnd"/>
      <w:r w:rsidR="004A782E" w:rsidRPr="00E95CB0">
        <w:rPr>
          <w:rFonts w:asciiTheme="majorBidi" w:hAnsiTheme="majorBidi" w:cstheme="majorBidi"/>
          <w:sz w:val="24"/>
          <w:szCs w:val="24"/>
        </w:rPr>
        <w:t xml:space="preserve"> and </w:t>
      </w:r>
      <w:proofErr w:type="spellStart"/>
      <w:r w:rsidR="004A782E" w:rsidRPr="00E95CB0">
        <w:rPr>
          <w:rFonts w:asciiTheme="majorBidi" w:hAnsiTheme="majorBidi" w:cstheme="majorBidi"/>
          <w:sz w:val="24"/>
          <w:szCs w:val="24"/>
        </w:rPr>
        <w:t>Marinacci</w:t>
      </w:r>
      <w:proofErr w:type="spellEnd"/>
      <w:r w:rsidR="004A782E" w:rsidRPr="00E95CB0">
        <w:rPr>
          <w:rFonts w:asciiTheme="majorBidi" w:hAnsiTheme="majorBidi" w:cstheme="majorBidi"/>
          <w:sz w:val="24"/>
          <w:szCs w:val="24"/>
        </w:rPr>
        <w:t xml:space="preserve"> (2002) and </w:t>
      </w:r>
      <w:proofErr w:type="spellStart"/>
      <w:r w:rsidR="004A782E" w:rsidRPr="00E95CB0">
        <w:rPr>
          <w:rFonts w:asciiTheme="majorBidi" w:hAnsiTheme="majorBidi" w:cstheme="majorBidi"/>
          <w:sz w:val="24"/>
          <w:szCs w:val="24"/>
        </w:rPr>
        <w:t>Klibanoff</w:t>
      </w:r>
      <w:proofErr w:type="spellEnd"/>
      <w:r w:rsidR="004A782E" w:rsidRPr="00E95CB0">
        <w:rPr>
          <w:rFonts w:asciiTheme="majorBidi" w:hAnsiTheme="majorBidi" w:cstheme="majorBidi"/>
          <w:sz w:val="24"/>
          <w:szCs w:val="24"/>
        </w:rPr>
        <w:t xml:space="preserve">, </w:t>
      </w:r>
      <w:proofErr w:type="spellStart"/>
      <w:r w:rsidR="004A782E" w:rsidRPr="00E95CB0">
        <w:rPr>
          <w:rFonts w:asciiTheme="majorBidi" w:hAnsiTheme="majorBidi" w:cstheme="majorBidi"/>
          <w:sz w:val="24"/>
          <w:szCs w:val="24"/>
        </w:rPr>
        <w:t>Marinacci</w:t>
      </w:r>
      <w:proofErr w:type="spellEnd"/>
      <w:r w:rsidR="004A782E" w:rsidRPr="00E95CB0">
        <w:rPr>
          <w:rFonts w:asciiTheme="majorBidi" w:hAnsiTheme="majorBidi" w:cstheme="majorBidi"/>
          <w:sz w:val="24"/>
          <w:szCs w:val="24"/>
        </w:rPr>
        <w:t xml:space="preserve"> and Mukerji (2005), page 1872). </w:t>
      </w:r>
    </w:p>
    <w:p w:rsidR="004A782E" w:rsidRPr="002F40AD" w:rsidRDefault="004A782E" w:rsidP="004A782E">
      <w:pPr>
        <w:spacing w:after="0"/>
        <w:jc w:val="both"/>
        <w:rPr>
          <w:rFonts w:asciiTheme="majorBidi" w:hAnsiTheme="majorBidi" w:cstheme="majorBidi"/>
          <w:sz w:val="24"/>
          <w:szCs w:val="24"/>
        </w:rPr>
      </w:pPr>
      <w:r>
        <w:rPr>
          <w:rFonts w:asciiTheme="majorBidi" w:hAnsiTheme="majorBidi" w:cstheme="majorBidi"/>
          <w:sz w:val="24"/>
          <w:szCs w:val="24"/>
        </w:rPr>
        <w:tab/>
      </w:r>
      <w:r w:rsidRPr="00E95CB0">
        <w:rPr>
          <w:rFonts w:asciiTheme="majorBidi" w:hAnsiTheme="majorBidi" w:cstheme="majorBidi"/>
          <w:sz w:val="24"/>
          <w:szCs w:val="24"/>
        </w:rPr>
        <w:t xml:space="preserve">Within the context of the CI result this implies, that credit contraction following Lehman’s downfall may be due to either an </w:t>
      </w:r>
      <w:r w:rsidR="00CE0A02">
        <w:rPr>
          <w:rFonts w:asciiTheme="majorBidi" w:hAnsiTheme="majorBidi" w:cstheme="majorBidi"/>
          <w:sz w:val="24"/>
          <w:szCs w:val="24"/>
        </w:rPr>
        <w:t>increase in uncertainty about P</w:t>
      </w:r>
      <w:r w:rsidRPr="00E95CB0">
        <w:rPr>
          <w:rFonts w:asciiTheme="majorBidi" w:hAnsiTheme="majorBidi" w:cstheme="majorBidi"/>
          <w:sz w:val="24"/>
          <w:szCs w:val="24"/>
        </w:rPr>
        <w:t xml:space="preserve"> or to an </w:t>
      </w:r>
      <w:r w:rsidRPr="00E95CB0">
        <w:rPr>
          <w:rFonts w:asciiTheme="majorBidi" w:hAnsiTheme="majorBidi" w:cstheme="majorBidi"/>
          <w:sz w:val="24"/>
          <w:szCs w:val="24"/>
        </w:rPr>
        <w:lastRenderedPageBreak/>
        <w:t>increase in aversion to this u</w:t>
      </w:r>
      <w:r>
        <w:rPr>
          <w:rFonts w:asciiTheme="majorBidi" w:hAnsiTheme="majorBidi" w:cstheme="majorBidi"/>
          <w:sz w:val="24"/>
          <w:szCs w:val="24"/>
        </w:rPr>
        <w:t xml:space="preserve">ncertainty, or to both factors. </w:t>
      </w:r>
      <w:r w:rsidRPr="00E95CB0">
        <w:rPr>
          <w:rFonts w:asciiTheme="majorBidi" w:hAnsiTheme="majorBidi" w:cstheme="majorBidi"/>
          <w:sz w:val="24"/>
          <w:szCs w:val="24"/>
        </w:rPr>
        <w:t xml:space="preserve">Modern decision theory refers to uncertainty about the relevant distributions as “ambiguity” and to aversion to such uncertainty as “ambiguity aversion”.  When individuals are indifferent to ambiguity the multiple </w:t>
      </w:r>
      <w:proofErr w:type="gramStart"/>
      <w:r w:rsidRPr="00E95CB0">
        <w:rPr>
          <w:rFonts w:asciiTheme="majorBidi" w:hAnsiTheme="majorBidi" w:cstheme="majorBidi"/>
          <w:sz w:val="24"/>
          <w:szCs w:val="24"/>
        </w:rPr>
        <w:t>priors</w:t>
      </w:r>
      <w:proofErr w:type="gramEnd"/>
      <w:r w:rsidRPr="00E95CB0">
        <w:rPr>
          <w:rFonts w:asciiTheme="majorBidi" w:hAnsiTheme="majorBidi" w:cstheme="majorBidi"/>
          <w:sz w:val="24"/>
          <w:szCs w:val="24"/>
        </w:rPr>
        <w:t xml:space="preserve"> framework can be collapsed to a single probability distribution by compounding. But in all other cases behavior </w:t>
      </w:r>
      <w:r>
        <w:rPr>
          <w:rFonts w:asciiTheme="majorBidi" w:hAnsiTheme="majorBidi" w:cstheme="majorBidi"/>
          <w:sz w:val="24"/>
          <w:szCs w:val="24"/>
        </w:rPr>
        <w:t>may generally depend</w:t>
      </w:r>
      <w:r w:rsidRPr="00E95CB0">
        <w:rPr>
          <w:rFonts w:asciiTheme="majorBidi" w:hAnsiTheme="majorBidi" w:cstheme="majorBidi"/>
          <w:sz w:val="24"/>
          <w:szCs w:val="24"/>
        </w:rPr>
        <w:t xml:space="preserve"> on both ambiguity and ambiguity aversion. </w:t>
      </w:r>
    </w:p>
    <w:p w:rsidR="004A782E" w:rsidRDefault="004A782E" w:rsidP="00B53712">
      <w:pPr>
        <w:pStyle w:val="FootnoteText"/>
        <w:spacing w:line="360" w:lineRule="auto"/>
        <w:jc w:val="both"/>
        <w:rPr>
          <w:sz w:val="24"/>
          <w:szCs w:val="24"/>
        </w:rPr>
      </w:pPr>
      <w:r>
        <w:rPr>
          <w:sz w:val="24"/>
          <w:szCs w:val="24"/>
        </w:rPr>
        <w:tab/>
        <w:t>Suppose now, taking the CI analysis as a point of departure, that the initial consequence of Lehman’s collapse was to raise both bailout ambiguity as well as the aversion to this ambiguit</w:t>
      </w:r>
      <w:r w:rsidR="00CE0A02">
        <w:rPr>
          <w:sz w:val="24"/>
          <w:szCs w:val="24"/>
        </w:rPr>
        <w:t xml:space="preserve">y.  On top of making corporations, households, </w:t>
      </w:r>
      <w:r>
        <w:rPr>
          <w:sz w:val="24"/>
          <w:szCs w:val="24"/>
        </w:rPr>
        <w:t>banks</w:t>
      </w:r>
      <w:r w:rsidR="00CE0A02">
        <w:rPr>
          <w:sz w:val="24"/>
          <w:szCs w:val="24"/>
        </w:rPr>
        <w:t xml:space="preserve"> and other financial institutions</w:t>
      </w:r>
      <w:r>
        <w:rPr>
          <w:sz w:val="24"/>
          <w:szCs w:val="24"/>
        </w:rPr>
        <w:t xml:space="preserve"> more aware about their lev</w:t>
      </w:r>
      <w:r w:rsidR="008E3E47">
        <w:rPr>
          <w:sz w:val="24"/>
          <w:szCs w:val="24"/>
        </w:rPr>
        <w:t xml:space="preserve">el of ignorance this </w:t>
      </w:r>
      <w:r>
        <w:rPr>
          <w:sz w:val="24"/>
          <w:szCs w:val="24"/>
        </w:rPr>
        <w:t xml:space="preserve">event also raised their aversion to this ignorance. Bailout probability distributions that were effectively given zero mass prior to the collapse were catapulted into the forefront of individuals’ probabilistic awareness and led </w:t>
      </w:r>
      <w:r w:rsidR="00B53712">
        <w:rPr>
          <w:sz w:val="24"/>
          <w:szCs w:val="24"/>
        </w:rPr>
        <w:t xml:space="preserve">them to behave more cautiously. This increase in ambiguity (or uncertainty) aversion </w:t>
      </w:r>
      <w:r>
        <w:rPr>
          <w:sz w:val="24"/>
          <w:szCs w:val="24"/>
        </w:rPr>
        <w:t xml:space="preserve">is likely to persist long after bailout ambiguity (or uncertainty) has returned to </w:t>
      </w:r>
      <w:r w:rsidR="00B53712">
        <w:rPr>
          <w:sz w:val="24"/>
          <w:szCs w:val="24"/>
        </w:rPr>
        <w:t xml:space="preserve">the vicinity of </w:t>
      </w:r>
      <w:r>
        <w:rPr>
          <w:sz w:val="24"/>
          <w:szCs w:val="24"/>
        </w:rPr>
        <w:t>its previous level. The impact of a largely unanticipated traumatic event to which individuals were probabilistically unaware to prior to the event is likely to permanently enlarge the set of multiple priors and with it the pro</w:t>
      </w:r>
      <w:r w:rsidR="00B53712">
        <w:rPr>
          <w:sz w:val="24"/>
          <w:szCs w:val="24"/>
        </w:rPr>
        <w:t>babilistic awareness</w:t>
      </w:r>
      <w:r>
        <w:rPr>
          <w:sz w:val="24"/>
          <w:szCs w:val="24"/>
        </w:rPr>
        <w:t xml:space="preserve"> that low probabilities of bailout are possible. </w:t>
      </w:r>
    </w:p>
    <w:p w:rsidR="004A782E" w:rsidRDefault="004A782E" w:rsidP="004A782E">
      <w:pPr>
        <w:pStyle w:val="FootnoteText"/>
        <w:spacing w:line="360" w:lineRule="auto"/>
        <w:jc w:val="both"/>
        <w:rPr>
          <w:sz w:val="24"/>
          <w:szCs w:val="24"/>
        </w:rPr>
      </w:pPr>
      <w:r>
        <w:rPr>
          <w:sz w:val="24"/>
          <w:szCs w:val="24"/>
        </w:rPr>
        <w:tab/>
        <w:t xml:space="preserve">This is reminiscent of the </w:t>
      </w:r>
      <w:proofErr w:type="spellStart"/>
      <w:r>
        <w:rPr>
          <w:sz w:val="24"/>
          <w:szCs w:val="24"/>
        </w:rPr>
        <w:t>Psycholgical</w:t>
      </w:r>
      <w:proofErr w:type="spellEnd"/>
      <w:r>
        <w:rPr>
          <w:sz w:val="24"/>
          <w:szCs w:val="24"/>
        </w:rPr>
        <w:t xml:space="preserve"> literature that deals with Post Traumatic Stress Disorder (PTSD). A PTSD is an anxiety disorder that may develop if a person encounters an unexpected extreme traumatic stressor such as war personal assault, confinement or a severe car accident (</w:t>
      </w:r>
      <w:proofErr w:type="spellStart"/>
      <w:r>
        <w:rPr>
          <w:sz w:val="24"/>
          <w:szCs w:val="24"/>
        </w:rPr>
        <w:t>Javidi</w:t>
      </w:r>
      <w:proofErr w:type="spellEnd"/>
      <w:r>
        <w:rPr>
          <w:sz w:val="24"/>
          <w:szCs w:val="24"/>
        </w:rPr>
        <w:t xml:space="preserve"> and </w:t>
      </w:r>
      <w:proofErr w:type="spellStart"/>
      <w:r>
        <w:rPr>
          <w:sz w:val="24"/>
          <w:szCs w:val="24"/>
        </w:rPr>
        <w:t>Yadollahie</w:t>
      </w:r>
      <w:proofErr w:type="spellEnd"/>
      <w:r>
        <w:rPr>
          <w:sz w:val="24"/>
          <w:szCs w:val="24"/>
        </w:rPr>
        <w:t xml:space="preserve"> (2012)). Although they need not result in deep psychological disorders, dramatic economic events such as Lehman’s collapse are likely to permanently alter </w:t>
      </w:r>
      <w:proofErr w:type="gramStart"/>
      <w:r>
        <w:rPr>
          <w:sz w:val="24"/>
          <w:szCs w:val="24"/>
        </w:rPr>
        <w:t>individuals</w:t>
      </w:r>
      <w:proofErr w:type="gramEnd"/>
      <w:r>
        <w:rPr>
          <w:sz w:val="24"/>
          <w:szCs w:val="24"/>
        </w:rPr>
        <w:t xml:space="preserve"> probabilistic beliefs in a pessimistic direction. The high visibility of Lehman’s event implies that most if not all financial market participants</w:t>
      </w:r>
      <w:r w:rsidR="00B53712">
        <w:rPr>
          <w:sz w:val="24"/>
          <w:szCs w:val="24"/>
        </w:rPr>
        <w:t>, households and corporations</w:t>
      </w:r>
      <w:r>
        <w:rPr>
          <w:sz w:val="24"/>
          <w:szCs w:val="24"/>
        </w:rPr>
        <w:t xml:space="preserve"> are likely to have been affected. </w:t>
      </w:r>
    </w:p>
    <w:p w:rsidR="004A782E" w:rsidRDefault="004A782E" w:rsidP="004A782E">
      <w:pPr>
        <w:pStyle w:val="FootnoteText"/>
        <w:spacing w:line="360" w:lineRule="auto"/>
        <w:jc w:val="both"/>
        <w:rPr>
          <w:sz w:val="24"/>
          <w:szCs w:val="24"/>
        </w:rPr>
      </w:pPr>
      <w:r>
        <w:rPr>
          <w:sz w:val="24"/>
          <w:szCs w:val="24"/>
        </w:rPr>
        <w:tab/>
        <w:t xml:space="preserve">This idea may be restated in terms of modern decision theory as follows:  Following the Lehman’s event the probabilistic awareness of individuals to low bailout probabilities permanently increased and this led to a permanent enlargement of the set of multiple bailout probabilities toward lower bailout probabilities. This point of view may be more acceptable to mainstream economic thinking since it attributes the change in the </w:t>
      </w:r>
      <w:r>
        <w:rPr>
          <w:sz w:val="24"/>
          <w:szCs w:val="24"/>
        </w:rPr>
        <w:lastRenderedPageBreak/>
        <w:t>set of multiple priors to a change in beliefs rather than to a change in attitudes toward ambiguity.</w:t>
      </w:r>
    </w:p>
    <w:p w:rsidR="004A782E" w:rsidRDefault="004A782E" w:rsidP="00C851BE">
      <w:pPr>
        <w:pStyle w:val="FootnoteText"/>
        <w:spacing w:line="360" w:lineRule="auto"/>
        <w:jc w:val="both"/>
        <w:rPr>
          <w:sz w:val="24"/>
          <w:szCs w:val="24"/>
        </w:rPr>
      </w:pPr>
      <w:r>
        <w:rPr>
          <w:sz w:val="24"/>
          <w:szCs w:val="24"/>
        </w:rPr>
        <w:tab/>
        <w:t xml:space="preserve">While, dramatic unexpected events like Lehman’s downfall are likely to immediately raise the probabilistic awareness of individuals to the relevance of low bailout probabilities. </w:t>
      </w:r>
      <w:proofErr w:type="gramStart"/>
      <w:r>
        <w:rPr>
          <w:sz w:val="24"/>
          <w:szCs w:val="24"/>
        </w:rPr>
        <w:t>the</w:t>
      </w:r>
      <w:proofErr w:type="gramEnd"/>
      <w:r>
        <w:rPr>
          <w:sz w:val="24"/>
          <w:szCs w:val="24"/>
        </w:rPr>
        <w:t xml:space="preserve"> return (if any) to previous, less pessimistic, levels of probabilistic awareness following appropriate reforms is likely to be sluggish.</w:t>
      </w:r>
      <w:r>
        <w:rPr>
          <w:sz w:val="24"/>
          <w:szCs w:val="24"/>
        </w:rPr>
        <w:tab/>
        <w:t xml:space="preserve">Economists are generally </w:t>
      </w:r>
      <w:proofErr w:type="gramStart"/>
      <w:r>
        <w:rPr>
          <w:sz w:val="24"/>
          <w:szCs w:val="24"/>
        </w:rPr>
        <w:t>loathe</w:t>
      </w:r>
      <w:proofErr w:type="gramEnd"/>
      <w:r>
        <w:rPr>
          <w:sz w:val="24"/>
          <w:szCs w:val="24"/>
        </w:rPr>
        <w:t xml:space="preserve"> of explaining behavior in terms of changes in preferences. However, following largely unanticipated traumatic public events this tendency may blind the profession to important dynamic elements of reality.  This statement is true in general as well as in the particular case of ambiguity aversion.  An example from a completely different area provides an illustration of this claim.  A</w:t>
      </w:r>
      <w:r w:rsidRPr="00663B95">
        <w:rPr>
          <w:sz w:val="24"/>
          <w:szCs w:val="24"/>
        </w:rPr>
        <w:t>ccording to the Non-Life Insurance Rating Organization of Japan (NLIRO) stricken Fukushima prefecture, bearing the brunt of the huge earthquake and tsunami that devastated the region at the beginning of 2011, saw rates of new earthquake insurance coverage increase almost threefold in the aftermath of the earthquake (</w:t>
      </w:r>
      <w:proofErr w:type="spellStart"/>
      <w:r w:rsidRPr="00663B95">
        <w:rPr>
          <w:sz w:val="24"/>
          <w:szCs w:val="24"/>
        </w:rPr>
        <w:t>Majirox</w:t>
      </w:r>
      <w:proofErr w:type="spellEnd"/>
      <w:r w:rsidRPr="00663B95">
        <w:rPr>
          <w:sz w:val="24"/>
          <w:szCs w:val="24"/>
        </w:rPr>
        <w:t xml:space="preserve"> news, August 24 2011). Provided this event did not appreciably change the beliefs of individuals about the objective probability distribution of such events this evidence is consistent with the view that, following the trauma caused by the tsunami, the set of multiple priors concerning such events expande</w:t>
      </w:r>
      <w:r>
        <w:rPr>
          <w:sz w:val="24"/>
          <w:szCs w:val="24"/>
        </w:rPr>
        <w:t xml:space="preserve">d mainly because of an increase </w:t>
      </w:r>
      <w:r w:rsidRPr="00663B95">
        <w:rPr>
          <w:sz w:val="24"/>
          <w:szCs w:val="24"/>
        </w:rPr>
        <w:t>in ambiguity aversion rather than in ambiguity.</w:t>
      </w:r>
      <w:r>
        <w:rPr>
          <w:sz w:val="24"/>
          <w:szCs w:val="24"/>
        </w:rPr>
        <w:t xml:space="preserve">  The analogy to the Lehman’s event should be </w:t>
      </w:r>
      <w:proofErr w:type="spellStart"/>
      <w:r>
        <w:rPr>
          <w:sz w:val="24"/>
          <w:szCs w:val="24"/>
        </w:rPr>
        <w:t>self explanatory</w:t>
      </w:r>
      <w:proofErr w:type="spellEnd"/>
      <w:r>
        <w:rPr>
          <w:sz w:val="24"/>
          <w:szCs w:val="24"/>
        </w:rPr>
        <w:t>.</w:t>
      </w:r>
    </w:p>
    <w:p w:rsidR="004B67ED" w:rsidRDefault="004B67ED" w:rsidP="00F56534">
      <w:pPr>
        <w:pStyle w:val="ListParagraph"/>
        <w:ind w:left="644"/>
        <w:rPr>
          <w:rFonts w:asciiTheme="majorBidi" w:hAnsiTheme="majorBidi" w:cstheme="majorBidi"/>
          <w:b/>
          <w:bCs/>
          <w:sz w:val="28"/>
          <w:szCs w:val="28"/>
        </w:rPr>
      </w:pPr>
    </w:p>
    <w:p w:rsidR="00F56534" w:rsidRDefault="004B67ED" w:rsidP="004B67ED">
      <w:pPr>
        <w:pStyle w:val="ListParagraph"/>
        <w:ind w:left="644" w:hanging="77"/>
        <w:rPr>
          <w:rFonts w:asciiTheme="majorBidi" w:hAnsiTheme="majorBidi" w:cstheme="majorBidi"/>
          <w:b/>
          <w:bCs/>
          <w:sz w:val="28"/>
          <w:szCs w:val="28"/>
        </w:rPr>
      </w:pPr>
      <w:r>
        <w:rPr>
          <w:rFonts w:asciiTheme="majorBidi" w:hAnsiTheme="majorBidi" w:cstheme="majorBidi"/>
          <w:b/>
          <w:bCs/>
          <w:sz w:val="28"/>
          <w:szCs w:val="28"/>
        </w:rPr>
        <w:t xml:space="preserve"> </w:t>
      </w:r>
      <w:r w:rsidR="004A782E">
        <w:rPr>
          <w:rFonts w:asciiTheme="majorBidi" w:hAnsiTheme="majorBidi" w:cstheme="majorBidi"/>
          <w:b/>
          <w:bCs/>
          <w:sz w:val="28"/>
          <w:szCs w:val="28"/>
        </w:rPr>
        <w:t>3</w:t>
      </w:r>
      <w:r w:rsidR="00D61087">
        <w:rPr>
          <w:rFonts w:asciiTheme="majorBidi" w:hAnsiTheme="majorBidi" w:cstheme="majorBidi"/>
          <w:b/>
          <w:bCs/>
          <w:sz w:val="28"/>
          <w:szCs w:val="28"/>
        </w:rPr>
        <w:t xml:space="preserve">. Evidence on </w:t>
      </w:r>
      <w:r w:rsidR="00E13A00">
        <w:rPr>
          <w:rFonts w:asciiTheme="majorBidi" w:hAnsiTheme="majorBidi" w:cstheme="majorBidi"/>
          <w:b/>
          <w:bCs/>
          <w:sz w:val="28"/>
          <w:szCs w:val="28"/>
        </w:rPr>
        <w:t xml:space="preserve">total </w:t>
      </w:r>
      <w:r w:rsidR="00D61087">
        <w:rPr>
          <w:rFonts w:asciiTheme="majorBidi" w:hAnsiTheme="majorBidi" w:cstheme="majorBidi"/>
          <w:b/>
          <w:bCs/>
          <w:sz w:val="28"/>
          <w:szCs w:val="28"/>
        </w:rPr>
        <w:t xml:space="preserve">net new </w:t>
      </w:r>
      <w:r w:rsidR="00E13A00">
        <w:rPr>
          <w:rFonts w:asciiTheme="majorBidi" w:hAnsiTheme="majorBidi" w:cstheme="majorBidi"/>
          <w:b/>
          <w:bCs/>
          <w:sz w:val="28"/>
          <w:szCs w:val="28"/>
        </w:rPr>
        <w:t>credit</w:t>
      </w:r>
      <w:r w:rsidR="00D61087">
        <w:rPr>
          <w:rFonts w:asciiTheme="majorBidi" w:hAnsiTheme="majorBidi" w:cstheme="majorBidi"/>
          <w:b/>
          <w:bCs/>
          <w:sz w:val="28"/>
          <w:szCs w:val="28"/>
        </w:rPr>
        <w:t xml:space="preserve"> </w:t>
      </w:r>
      <w:r w:rsidR="00E13A00">
        <w:rPr>
          <w:rFonts w:asciiTheme="majorBidi" w:hAnsiTheme="majorBidi" w:cstheme="majorBidi"/>
          <w:b/>
          <w:bCs/>
          <w:sz w:val="28"/>
          <w:szCs w:val="28"/>
        </w:rPr>
        <w:t xml:space="preserve">flows </w:t>
      </w:r>
      <w:r w:rsidR="004A0E88">
        <w:rPr>
          <w:rFonts w:asciiTheme="majorBidi" w:hAnsiTheme="majorBidi" w:cstheme="majorBidi"/>
          <w:b/>
          <w:bCs/>
          <w:sz w:val="28"/>
          <w:szCs w:val="28"/>
        </w:rPr>
        <w:t xml:space="preserve">and net bond issuance by issuers </w:t>
      </w:r>
      <w:r w:rsidR="00D61087">
        <w:rPr>
          <w:rFonts w:asciiTheme="majorBidi" w:hAnsiTheme="majorBidi" w:cstheme="majorBidi"/>
          <w:b/>
          <w:bCs/>
          <w:sz w:val="28"/>
          <w:szCs w:val="28"/>
        </w:rPr>
        <w:t xml:space="preserve">before and after Lehman’s collapse </w:t>
      </w:r>
    </w:p>
    <w:p w:rsidR="00527DD3" w:rsidRDefault="00E13A00" w:rsidP="006C2CC0">
      <w:pPr>
        <w:pStyle w:val="ListParagraph"/>
        <w:ind w:left="0"/>
        <w:jc w:val="both"/>
        <w:rPr>
          <w:rFonts w:asciiTheme="majorBidi" w:hAnsiTheme="majorBidi" w:cstheme="majorBidi"/>
          <w:sz w:val="24"/>
          <w:szCs w:val="24"/>
        </w:rPr>
      </w:pPr>
      <w:r>
        <w:rPr>
          <w:rFonts w:asciiTheme="majorBidi" w:hAnsiTheme="majorBidi" w:cstheme="majorBidi"/>
          <w:sz w:val="24"/>
          <w:szCs w:val="24"/>
        </w:rPr>
        <w:tab/>
      </w:r>
      <w:r w:rsidR="008631CC" w:rsidRPr="008631CC">
        <w:rPr>
          <w:rFonts w:asciiTheme="majorBidi" w:hAnsiTheme="majorBidi" w:cstheme="majorBidi"/>
          <w:sz w:val="24"/>
          <w:szCs w:val="24"/>
        </w:rPr>
        <w:t>A substantial part of credit fl</w:t>
      </w:r>
      <w:r w:rsidR="008631CC">
        <w:rPr>
          <w:rFonts w:asciiTheme="majorBidi" w:hAnsiTheme="majorBidi" w:cstheme="majorBidi"/>
          <w:sz w:val="24"/>
          <w:szCs w:val="24"/>
        </w:rPr>
        <w:t>ows in the US occurs through bond issues in the capital market</w:t>
      </w:r>
      <w:r w:rsidR="008631CC">
        <w:rPr>
          <w:rFonts w:asciiTheme="majorBidi" w:hAnsiTheme="majorBidi" w:cstheme="majorBidi"/>
          <w:b/>
          <w:bCs/>
          <w:sz w:val="28"/>
          <w:szCs w:val="28"/>
        </w:rPr>
        <w:t>.</w:t>
      </w:r>
      <w:r w:rsidR="008631CC" w:rsidRPr="0030697E">
        <w:rPr>
          <w:rStyle w:val="FootnoteReference"/>
          <w:rFonts w:asciiTheme="majorBidi" w:hAnsiTheme="majorBidi" w:cstheme="majorBidi"/>
          <w:sz w:val="24"/>
          <w:szCs w:val="24"/>
        </w:rPr>
        <w:footnoteReference w:id="8"/>
      </w:r>
      <w:r w:rsidR="0030697E">
        <w:rPr>
          <w:rFonts w:asciiTheme="majorBidi" w:hAnsiTheme="majorBidi" w:cstheme="majorBidi"/>
          <w:b/>
          <w:bCs/>
          <w:sz w:val="28"/>
          <w:szCs w:val="28"/>
        </w:rPr>
        <w:t xml:space="preserve"> </w:t>
      </w:r>
      <w:r w:rsidR="002F4C57">
        <w:rPr>
          <w:rFonts w:asciiTheme="majorBidi" w:hAnsiTheme="majorBidi" w:cstheme="majorBidi"/>
          <w:sz w:val="24"/>
          <w:szCs w:val="24"/>
        </w:rPr>
        <w:t>This section complement</w:t>
      </w:r>
      <w:r w:rsidR="00640021">
        <w:rPr>
          <w:rFonts w:asciiTheme="majorBidi" w:hAnsiTheme="majorBidi" w:cstheme="majorBidi"/>
          <w:sz w:val="24"/>
          <w:szCs w:val="24"/>
        </w:rPr>
        <w:t>s the banking credit evidence in</w:t>
      </w:r>
      <w:r w:rsidR="002F4C57">
        <w:rPr>
          <w:rFonts w:asciiTheme="majorBidi" w:hAnsiTheme="majorBidi" w:cstheme="majorBidi"/>
          <w:sz w:val="24"/>
          <w:szCs w:val="24"/>
        </w:rPr>
        <w:t xml:space="preserve"> the previous section by presenting data on </w:t>
      </w:r>
      <w:r>
        <w:rPr>
          <w:rFonts w:asciiTheme="majorBidi" w:hAnsiTheme="majorBidi" w:cstheme="majorBidi"/>
          <w:sz w:val="24"/>
          <w:szCs w:val="24"/>
        </w:rPr>
        <w:t xml:space="preserve">total </w:t>
      </w:r>
      <w:r w:rsidR="002F4C57">
        <w:rPr>
          <w:rFonts w:asciiTheme="majorBidi" w:hAnsiTheme="majorBidi" w:cstheme="majorBidi"/>
          <w:sz w:val="24"/>
          <w:szCs w:val="24"/>
        </w:rPr>
        <w:t>new credit f</w:t>
      </w:r>
      <w:r>
        <w:rPr>
          <w:rFonts w:asciiTheme="majorBidi" w:hAnsiTheme="majorBidi" w:cstheme="majorBidi"/>
          <w:sz w:val="24"/>
          <w:szCs w:val="24"/>
        </w:rPr>
        <w:t>lows via</w:t>
      </w:r>
      <w:r w:rsidR="002F4C57">
        <w:rPr>
          <w:rFonts w:asciiTheme="majorBidi" w:hAnsiTheme="majorBidi" w:cstheme="majorBidi"/>
          <w:sz w:val="24"/>
          <w:szCs w:val="24"/>
        </w:rPr>
        <w:t xml:space="preserve"> </w:t>
      </w:r>
      <w:r>
        <w:rPr>
          <w:rFonts w:asciiTheme="majorBidi" w:hAnsiTheme="majorBidi" w:cstheme="majorBidi"/>
          <w:sz w:val="24"/>
          <w:szCs w:val="24"/>
        </w:rPr>
        <w:t xml:space="preserve">the banking system as well as through </w:t>
      </w:r>
      <w:r w:rsidR="002F4C57">
        <w:rPr>
          <w:rFonts w:asciiTheme="majorBidi" w:hAnsiTheme="majorBidi" w:cstheme="majorBidi"/>
          <w:sz w:val="24"/>
          <w:szCs w:val="24"/>
        </w:rPr>
        <w:t>the</w:t>
      </w:r>
      <w:r w:rsidR="00A17660">
        <w:rPr>
          <w:rFonts w:asciiTheme="majorBidi" w:hAnsiTheme="majorBidi" w:cstheme="majorBidi"/>
          <w:sz w:val="24"/>
          <w:szCs w:val="24"/>
        </w:rPr>
        <w:t xml:space="preserve"> US </w:t>
      </w:r>
      <w:r w:rsidR="002F4C57">
        <w:rPr>
          <w:rFonts w:asciiTheme="majorBidi" w:hAnsiTheme="majorBidi" w:cstheme="majorBidi"/>
          <w:sz w:val="24"/>
          <w:szCs w:val="24"/>
        </w:rPr>
        <w:t xml:space="preserve">bond market. </w:t>
      </w:r>
      <w:r w:rsidR="00CD5616">
        <w:rPr>
          <w:rFonts w:asciiTheme="majorBidi" w:hAnsiTheme="majorBidi" w:cstheme="majorBidi"/>
          <w:sz w:val="24"/>
          <w:szCs w:val="24"/>
        </w:rPr>
        <w:t>Figure 5</w:t>
      </w:r>
      <w:r w:rsidR="0030697E">
        <w:rPr>
          <w:rFonts w:asciiTheme="majorBidi" w:hAnsiTheme="majorBidi" w:cstheme="majorBidi"/>
          <w:sz w:val="24"/>
          <w:szCs w:val="24"/>
        </w:rPr>
        <w:t xml:space="preserve"> shows the yearly volume</w:t>
      </w:r>
      <w:r>
        <w:rPr>
          <w:rFonts w:asciiTheme="majorBidi" w:hAnsiTheme="majorBidi" w:cstheme="majorBidi"/>
          <w:sz w:val="24"/>
          <w:szCs w:val="24"/>
        </w:rPr>
        <w:t>s</w:t>
      </w:r>
      <w:r w:rsidR="0030697E">
        <w:rPr>
          <w:rFonts w:asciiTheme="majorBidi" w:hAnsiTheme="majorBidi" w:cstheme="majorBidi"/>
          <w:sz w:val="24"/>
          <w:szCs w:val="24"/>
        </w:rPr>
        <w:t xml:space="preserve"> of </w:t>
      </w:r>
      <w:r>
        <w:rPr>
          <w:rFonts w:asciiTheme="majorBidi" w:hAnsiTheme="majorBidi" w:cstheme="majorBidi"/>
          <w:sz w:val="24"/>
          <w:szCs w:val="24"/>
        </w:rPr>
        <w:t xml:space="preserve">total, </w:t>
      </w:r>
      <w:r w:rsidR="0030697E">
        <w:rPr>
          <w:rFonts w:asciiTheme="majorBidi" w:hAnsiTheme="majorBidi" w:cstheme="majorBidi"/>
          <w:sz w:val="24"/>
          <w:szCs w:val="24"/>
        </w:rPr>
        <w:t xml:space="preserve">net </w:t>
      </w:r>
      <w:r>
        <w:rPr>
          <w:rFonts w:asciiTheme="majorBidi" w:hAnsiTheme="majorBidi" w:cstheme="majorBidi"/>
          <w:sz w:val="24"/>
          <w:szCs w:val="24"/>
        </w:rPr>
        <w:t>of re</w:t>
      </w:r>
      <w:r w:rsidR="008B2FD8">
        <w:rPr>
          <w:rFonts w:asciiTheme="majorBidi" w:hAnsiTheme="majorBidi" w:cstheme="majorBidi"/>
          <w:sz w:val="24"/>
          <w:szCs w:val="24"/>
        </w:rPr>
        <w:t>demptions,</w:t>
      </w:r>
      <w:r>
        <w:rPr>
          <w:rFonts w:asciiTheme="majorBidi" w:hAnsiTheme="majorBidi" w:cstheme="majorBidi"/>
          <w:sz w:val="24"/>
          <w:szCs w:val="24"/>
        </w:rPr>
        <w:t xml:space="preserve"> new</w:t>
      </w:r>
      <w:r w:rsidR="0030697E">
        <w:rPr>
          <w:rFonts w:asciiTheme="majorBidi" w:hAnsiTheme="majorBidi" w:cstheme="majorBidi"/>
          <w:sz w:val="24"/>
          <w:szCs w:val="24"/>
        </w:rPr>
        <w:t xml:space="preserve"> </w:t>
      </w:r>
      <w:r>
        <w:rPr>
          <w:rFonts w:asciiTheme="majorBidi" w:hAnsiTheme="majorBidi" w:cstheme="majorBidi"/>
          <w:sz w:val="24"/>
          <w:szCs w:val="24"/>
        </w:rPr>
        <w:t xml:space="preserve">bond issues </w:t>
      </w:r>
      <w:r w:rsidR="008B2FD8">
        <w:rPr>
          <w:rFonts w:asciiTheme="majorBidi" w:hAnsiTheme="majorBidi" w:cstheme="majorBidi"/>
          <w:sz w:val="24"/>
          <w:szCs w:val="24"/>
        </w:rPr>
        <w:t>excluding t</w:t>
      </w:r>
      <w:r w:rsidR="008029AB">
        <w:rPr>
          <w:rFonts w:asciiTheme="majorBidi" w:hAnsiTheme="majorBidi" w:cstheme="majorBidi"/>
          <w:sz w:val="24"/>
          <w:szCs w:val="24"/>
        </w:rPr>
        <w:t>reasury bills</w:t>
      </w:r>
      <w:r w:rsidR="008B2FD8">
        <w:rPr>
          <w:rFonts w:asciiTheme="majorBidi" w:hAnsiTheme="majorBidi" w:cstheme="majorBidi"/>
          <w:sz w:val="24"/>
          <w:szCs w:val="24"/>
        </w:rPr>
        <w:t xml:space="preserve"> </w:t>
      </w:r>
      <w:r w:rsidR="00CD5616">
        <w:rPr>
          <w:rFonts w:asciiTheme="majorBidi" w:hAnsiTheme="majorBidi" w:cstheme="majorBidi"/>
          <w:sz w:val="24"/>
          <w:szCs w:val="24"/>
        </w:rPr>
        <w:t>(in orange</w:t>
      </w:r>
      <w:r w:rsidR="008029AB">
        <w:rPr>
          <w:rFonts w:asciiTheme="majorBidi" w:hAnsiTheme="majorBidi" w:cstheme="majorBidi"/>
          <w:sz w:val="24"/>
          <w:szCs w:val="24"/>
        </w:rPr>
        <w:t xml:space="preserve">) </w:t>
      </w:r>
      <w:r>
        <w:rPr>
          <w:rFonts w:asciiTheme="majorBidi" w:hAnsiTheme="majorBidi" w:cstheme="majorBidi"/>
          <w:sz w:val="24"/>
          <w:szCs w:val="24"/>
        </w:rPr>
        <w:t xml:space="preserve">and net new banking </w:t>
      </w:r>
      <w:r w:rsidR="008029AB">
        <w:rPr>
          <w:rFonts w:asciiTheme="majorBidi" w:hAnsiTheme="majorBidi" w:cstheme="majorBidi"/>
          <w:sz w:val="24"/>
          <w:szCs w:val="24"/>
        </w:rPr>
        <w:lastRenderedPageBreak/>
        <w:t>credit flows (in blue)</w:t>
      </w:r>
      <w:r>
        <w:rPr>
          <w:rFonts w:asciiTheme="majorBidi" w:hAnsiTheme="majorBidi" w:cstheme="majorBidi"/>
          <w:sz w:val="24"/>
          <w:szCs w:val="24"/>
        </w:rPr>
        <w:t xml:space="preserve">.  The </w:t>
      </w:r>
      <w:r w:rsidR="00DB14A4">
        <w:rPr>
          <w:rFonts w:asciiTheme="majorBidi" w:hAnsiTheme="majorBidi" w:cstheme="majorBidi"/>
          <w:sz w:val="24"/>
          <w:szCs w:val="24"/>
        </w:rPr>
        <w:t xml:space="preserve">yearly data in the </w:t>
      </w:r>
      <w:r w:rsidR="008029AB">
        <w:rPr>
          <w:rFonts w:asciiTheme="majorBidi" w:hAnsiTheme="majorBidi" w:cstheme="majorBidi"/>
          <w:sz w:val="24"/>
          <w:szCs w:val="24"/>
        </w:rPr>
        <w:t xml:space="preserve">Figure </w:t>
      </w:r>
      <w:r w:rsidR="00DB14A4">
        <w:rPr>
          <w:rFonts w:asciiTheme="majorBidi" w:hAnsiTheme="majorBidi" w:cstheme="majorBidi"/>
          <w:sz w:val="24"/>
          <w:szCs w:val="24"/>
        </w:rPr>
        <w:t xml:space="preserve">highlights the huge decline that occurred in total net new credit between 2007 and 2008. </w:t>
      </w:r>
      <w:r w:rsidR="008029AB">
        <w:rPr>
          <w:rFonts w:asciiTheme="majorBidi" w:hAnsiTheme="majorBidi" w:cstheme="majorBidi"/>
          <w:sz w:val="24"/>
          <w:szCs w:val="24"/>
        </w:rPr>
        <w:t xml:space="preserve"> </w:t>
      </w:r>
      <w:r w:rsidR="00ED7579">
        <w:rPr>
          <w:rFonts w:asciiTheme="majorBidi" w:hAnsiTheme="majorBidi" w:cstheme="majorBidi"/>
          <w:sz w:val="24"/>
          <w:szCs w:val="24"/>
        </w:rPr>
        <w:t>Most of this decline</w:t>
      </w:r>
      <w:r w:rsidR="00DB14A4">
        <w:rPr>
          <w:rFonts w:asciiTheme="majorBidi" w:hAnsiTheme="majorBidi" w:cstheme="majorBidi"/>
          <w:sz w:val="24"/>
          <w:szCs w:val="24"/>
        </w:rPr>
        <w:t xml:space="preserve"> is </w:t>
      </w:r>
      <w:r w:rsidR="00ED7579">
        <w:rPr>
          <w:rFonts w:asciiTheme="majorBidi" w:hAnsiTheme="majorBidi" w:cstheme="majorBidi"/>
          <w:sz w:val="24"/>
          <w:szCs w:val="24"/>
        </w:rPr>
        <w:t xml:space="preserve">due to </w:t>
      </w:r>
      <w:r w:rsidR="00DB14A4">
        <w:rPr>
          <w:rFonts w:asciiTheme="majorBidi" w:hAnsiTheme="majorBidi" w:cstheme="majorBidi"/>
          <w:sz w:val="24"/>
          <w:szCs w:val="24"/>
        </w:rPr>
        <w:t xml:space="preserve">the collapse </w:t>
      </w:r>
      <w:r w:rsidR="00ED7579">
        <w:rPr>
          <w:rFonts w:asciiTheme="majorBidi" w:hAnsiTheme="majorBidi" w:cstheme="majorBidi"/>
          <w:sz w:val="24"/>
          <w:szCs w:val="24"/>
        </w:rPr>
        <w:t>in net new issues of bonds that</w:t>
      </w:r>
      <w:r w:rsidR="00DB14A4">
        <w:rPr>
          <w:rFonts w:asciiTheme="majorBidi" w:hAnsiTheme="majorBidi" w:cstheme="majorBidi"/>
          <w:sz w:val="24"/>
          <w:szCs w:val="24"/>
        </w:rPr>
        <w:t xml:space="preserve"> went down from over 2.5 trillion $ in 2007 to a small negative number in 2008. Net new banking credit also experienced a serious decrease</w:t>
      </w:r>
      <w:r w:rsidR="00ED7579">
        <w:rPr>
          <w:rFonts w:asciiTheme="majorBidi" w:hAnsiTheme="majorBidi" w:cstheme="majorBidi"/>
          <w:sz w:val="24"/>
          <w:szCs w:val="24"/>
        </w:rPr>
        <w:t xml:space="preserve"> of “only” </w:t>
      </w:r>
      <w:r w:rsidR="00DB14A4">
        <w:rPr>
          <w:rFonts w:asciiTheme="majorBidi" w:hAnsiTheme="majorBidi" w:cstheme="majorBidi"/>
          <w:sz w:val="24"/>
          <w:szCs w:val="24"/>
        </w:rPr>
        <w:t xml:space="preserve">47 percent </w:t>
      </w:r>
      <w:r w:rsidR="00527DD3">
        <w:rPr>
          <w:rFonts w:asciiTheme="majorBidi" w:hAnsiTheme="majorBidi" w:cstheme="majorBidi"/>
          <w:sz w:val="24"/>
          <w:szCs w:val="24"/>
        </w:rPr>
        <w:t xml:space="preserve">between those two years </w:t>
      </w:r>
      <w:r w:rsidR="00ED7579">
        <w:rPr>
          <w:rFonts w:asciiTheme="majorBidi" w:hAnsiTheme="majorBidi" w:cstheme="majorBidi"/>
          <w:sz w:val="24"/>
          <w:szCs w:val="24"/>
        </w:rPr>
        <w:t xml:space="preserve">but managed to remain positive. </w:t>
      </w:r>
      <w:r w:rsidR="00527DD3">
        <w:rPr>
          <w:rFonts w:asciiTheme="majorBidi" w:hAnsiTheme="majorBidi" w:cstheme="majorBidi"/>
          <w:sz w:val="24"/>
          <w:szCs w:val="24"/>
        </w:rPr>
        <w:t>However, i</w:t>
      </w:r>
      <w:r w:rsidR="00ED7579">
        <w:rPr>
          <w:rFonts w:asciiTheme="majorBidi" w:hAnsiTheme="majorBidi" w:cstheme="majorBidi"/>
          <w:sz w:val="24"/>
          <w:szCs w:val="24"/>
        </w:rPr>
        <w:t>n 2009 both net new bond issues as well</w:t>
      </w:r>
      <w:r w:rsidR="00527DD3">
        <w:rPr>
          <w:rFonts w:asciiTheme="majorBidi" w:hAnsiTheme="majorBidi" w:cstheme="majorBidi"/>
          <w:sz w:val="24"/>
          <w:szCs w:val="24"/>
        </w:rPr>
        <w:t xml:space="preserve"> as net new banking credit were in negative territory</w:t>
      </w:r>
      <w:r w:rsidR="00ED7579">
        <w:rPr>
          <w:rFonts w:asciiTheme="majorBidi" w:hAnsiTheme="majorBidi" w:cstheme="majorBidi"/>
          <w:sz w:val="24"/>
          <w:szCs w:val="24"/>
        </w:rPr>
        <w:t xml:space="preserve">. </w:t>
      </w:r>
      <w:r w:rsidR="00527DD3">
        <w:rPr>
          <w:rFonts w:asciiTheme="majorBidi" w:hAnsiTheme="majorBidi" w:cstheme="majorBidi"/>
          <w:sz w:val="24"/>
          <w:szCs w:val="24"/>
        </w:rPr>
        <w:t xml:space="preserve"> </w:t>
      </w:r>
    </w:p>
    <w:p w:rsidR="00570A20" w:rsidRDefault="00B205F5" w:rsidP="006C2CC0">
      <w:pPr>
        <w:pStyle w:val="ListParagraph"/>
        <w:ind w:left="0"/>
        <w:jc w:val="both"/>
        <w:rPr>
          <w:rFonts w:asciiTheme="majorBidi" w:hAnsiTheme="majorBidi" w:cstheme="majorBidi"/>
          <w:sz w:val="24"/>
          <w:szCs w:val="24"/>
        </w:rPr>
      </w:pPr>
      <w:r>
        <w:rPr>
          <w:rFonts w:asciiTheme="majorBidi" w:hAnsiTheme="majorBidi" w:cstheme="majorBidi"/>
          <w:sz w:val="24"/>
          <w:szCs w:val="24"/>
        </w:rPr>
        <w:tab/>
        <w:t xml:space="preserve">The decrease in net new bond issues was not distributed evenly across different categories of bonds. There was a dramatic and sustained decrease in net new issues of mortgage related and asset backed bonds. </w:t>
      </w:r>
      <w:r w:rsidR="002D14BE">
        <w:rPr>
          <w:rFonts w:asciiTheme="majorBidi" w:hAnsiTheme="majorBidi" w:cstheme="majorBidi"/>
          <w:sz w:val="24"/>
          <w:szCs w:val="24"/>
        </w:rPr>
        <w:t xml:space="preserve">From a peak of over one trillion and a half in 2006 net new issues of those bonds became negative in </w:t>
      </w:r>
      <w:r w:rsidR="00BB75FF">
        <w:rPr>
          <w:rFonts w:asciiTheme="majorBidi" w:hAnsiTheme="majorBidi" w:cstheme="majorBidi"/>
          <w:sz w:val="24"/>
          <w:szCs w:val="24"/>
        </w:rPr>
        <w:t xml:space="preserve">2008, remained in negative territory in every single year until </w:t>
      </w:r>
      <w:r w:rsidR="002D14BE">
        <w:rPr>
          <w:rFonts w:asciiTheme="majorBidi" w:hAnsiTheme="majorBidi" w:cstheme="majorBidi"/>
          <w:sz w:val="24"/>
          <w:szCs w:val="24"/>
        </w:rPr>
        <w:t>2013</w:t>
      </w:r>
      <w:r w:rsidR="00BB75FF">
        <w:rPr>
          <w:rFonts w:asciiTheme="majorBidi" w:hAnsiTheme="majorBidi" w:cstheme="majorBidi"/>
          <w:sz w:val="24"/>
          <w:szCs w:val="24"/>
        </w:rPr>
        <w:t xml:space="preserve">, </w:t>
      </w:r>
      <w:r w:rsidR="002D14BE">
        <w:rPr>
          <w:rFonts w:asciiTheme="majorBidi" w:hAnsiTheme="majorBidi" w:cstheme="majorBidi"/>
          <w:sz w:val="24"/>
          <w:szCs w:val="24"/>
        </w:rPr>
        <w:t xml:space="preserve">and rose </w:t>
      </w:r>
      <w:r w:rsidR="00BB75FF">
        <w:rPr>
          <w:rFonts w:asciiTheme="majorBidi" w:hAnsiTheme="majorBidi" w:cstheme="majorBidi"/>
          <w:sz w:val="24"/>
          <w:szCs w:val="24"/>
        </w:rPr>
        <w:t xml:space="preserve">modestly above zero only in 2014. </w:t>
      </w:r>
      <w:r>
        <w:rPr>
          <w:rFonts w:asciiTheme="majorBidi" w:hAnsiTheme="majorBidi" w:cstheme="majorBidi"/>
          <w:sz w:val="24"/>
          <w:szCs w:val="24"/>
        </w:rPr>
        <w:t xml:space="preserve">Net new issues of federal agencies securities and municipal bonds </w:t>
      </w:r>
      <w:r w:rsidR="004476F8">
        <w:rPr>
          <w:rFonts w:asciiTheme="majorBidi" w:hAnsiTheme="majorBidi" w:cstheme="majorBidi"/>
          <w:sz w:val="24"/>
          <w:szCs w:val="24"/>
        </w:rPr>
        <w:t xml:space="preserve">also plunged into negative territory for a </w:t>
      </w:r>
      <w:r w:rsidR="0028225D">
        <w:rPr>
          <w:rFonts w:asciiTheme="majorBidi" w:hAnsiTheme="majorBidi" w:cstheme="majorBidi"/>
          <w:sz w:val="24"/>
          <w:szCs w:val="24"/>
        </w:rPr>
        <w:t xml:space="preserve">good </w:t>
      </w:r>
      <w:r w:rsidR="004476F8">
        <w:rPr>
          <w:rFonts w:asciiTheme="majorBidi" w:hAnsiTheme="majorBidi" w:cstheme="majorBidi"/>
          <w:sz w:val="24"/>
          <w:szCs w:val="24"/>
        </w:rPr>
        <w:t>number of years following Lehman’s collapse.</w:t>
      </w:r>
      <w:r w:rsidR="0028225D">
        <w:rPr>
          <w:rFonts w:asciiTheme="majorBidi" w:hAnsiTheme="majorBidi" w:cstheme="majorBidi"/>
          <w:sz w:val="24"/>
          <w:szCs w:val="24"/>
        </w:rPr>
        <w:t xml:space="preserve"> Figure 7 shows that the sum total of net new issues of those </w:t>
      </w:r>
      <w:r w:rsidR="00BB75FF">
        <w:rPr>
          <w:rFonts w:asciiTheme="majorBidi" w:hAnsiTheme="majorBidi" w:cstheme="majorBidi"/>
          <w:sz w:val="24"/>
          <w:szCs w:val="24"/>
        </w:rPr>
        <w:t xml:space="preserve">four </w:t>
      </w:r>
      <w:r w:rsidR="0028225D">
        <w:rPr>
          <w:rFonts w:asciiTheme="majorBidi" w:hAnsiTheme="majorBidi" w:cstheme="majorBidi"/>
          <w:sz w:val="24"/>
          <w:szCs w:val="24"/>
        </w:rPr>
        <w:t xml:space="preserve">categories </w:t>
      </w:r>
      <w:r w:rsidR="00377927">
        <w:rPr>
          <w:rFonts w:asciiTheme="majorBidi" w:hAnsiTheme="majorBidi" w:cstheme="majorBidi"/>
          <w:sz w:val="24"/>
          <w:szCs w:val="24"/>
        </w:rPr>
        <w:t>decreased</w:t>
      </w:r>
      <w:r w:rsidR="0028225D">
        <w:rPr>
          <w:rFonts w:asciiTheme="majorBidi" w:hAnsiTheme="majorBidi" w:cstheme="majorBidi"/>
          <w:sz w:val="24"/>
          <w:szCs w:val="24"/>
        </w:rPr>
        <w:t xml:space="preserve"> from o</w:t>
      </w:r>
      <w:r w:rsidR="004D60CF">
        <w:rPr>
          <w:rFonts w:asciiTheme="majorBidi" w:hAnsiTheme="majorBidi" w:cstheme="majorBidi"/>
          <w:sz w:val="24"/>
          <w:szCs w:val="24"/>
        </w:rPr>
        <w:t>ver a t</w:t>
      </w:r>
      <w:r w:rsidR="0028225D">
        <w:rPr>
          <w:rFonts w:asciiTheme="majorBidi" w:hAnsiTheme="majorBidi" w:cstheme="majorBidi"/>
          <w:sz w:val="24"/>
          <w:szCs w:val="24"/>
        </w:rPr>
        <w:t>rillion and a half in 2006 and 2007 to less than half a</w:t>
      </w:r>
      <w:r w:rsidR="0009370E">
        <w:rPr>
          <w:rFonts w:asciiTheme="majorBidi" w:hAnsiTheme="majorBidi" w:cstheme="majorBidi"/>
          <w:sz w:val="24"/>
          <w:szCs w:val="24"/>
        </w:rPr>
        <w:t xml:space="preserve"> </w:t>
      </w:r>
      <w:r w:rsidR="004D60CF">
        <w:rPr>
          <w:rFonts w:asciiTheme="majorBidi" w:hAnsiTheme="majorBidi" w:cstheme="majorBidi"/>
          <w:sz w:val="24"/>
          <w:szCs w:val="24"/>
        </w:rPr>
        <w:t>t</w:t>
      </w:r>
      <w:r w:rsidR="0028225D">
        <w:rPr>
          <w:rFonts w:asciiTheme="majorBidi" w:hAnsiTheme="majorBidi" w:cstheme="majorBidi"/>
          <w:sz w:val="24"/>
          <w:szCs w:val="24"/>
        </w:rPr>
        <w:t>rillion in 2</w:t>
      </w:r>
      <w:r w:rsidR="0009370E">
        <w:rPr>
          <w:rFonts w:asciiTheme="majorBidi" w:hAnsiTheme="majorBidi" w:cstheme="majorBidi"/>
          <w:sz w:val="24"/>
          <w:szCs w:val="24"/>
        </w:rPr>
        <w:t>008</w:t>
      </w:r>
      <w:r w:rsidR="0088252E">
        <w:rPr>
          <w:rFonts w:asciiTheme="majorBidi" w:hAnsiTheme="majorBidi" w:cstheme="majorBidi"/>
          <w:sz w:val="24"/>
          <w:szCs w:val="24"/>
        </w:rPr>
        <w:t xml:space="preserve">. </w:t>
      </w:r>
      <w:proofErr w:type="gramStart"/>
      <w:r w:rsidR="0088252E">
        <w:rPr>
          <w:rFonts w:asciiTheme="majorBidi" w:hAnsiTheme="majorBidi" w:cstheme="majorBidi"/>
          <w:sz w:val="24"/>
          <w:szCs w:val="24"/>
        </w:rPr>
        <w:t xml:space="preserve">This sum was </w:t>
      </w:r>
      <w:r w:rsidR="0009370E">
        <w:rPr>
          <w:rFonts w:asciiTheme="majorBidi" w:hAnsiTheme="majorBidi" w:cstheme="majorBidi"/>
          <w:sz w:val="24"/>
          <w:szCs w:val="24"/>
        </w:rPr>
        <w:t>persistently negative in every year between 2009 and 2013</w:t>
      </w:r>
      <w:r w:rsidR="00570A20">
        <w:rPr>
          <w:rFonts w:asciiTheme="majorBidi" w:hAnsiTheme="majorBidi" w:cstheme="majorBidi"/>
          <w:sz w:val="24"/>
          <w:szCs w:val="24"/>
        </w:rPr>
        <w:t xml:space="preserve"> and</w:t>
      </w:r>
      <w:r w:rsidR="0009370E">
        <w:rPr>
          <w:rFonts w:asciiTheme="majorBidi" w:hAnsiTheme="majorBidi" w:cstheme="majorBidi"/>
          <w:sz w:val="24"/>
          <w:szCs w:val="24"/>
        </w:rPr>
        <w:t xml:space="preserve"> essentially zero</w:t>
      </w:r>
      <w:proofErr w:type="gramEnd"/>
      <w:r w:rsidR="0009370E">
        <w:rPr>
          <w:rFonts w:asciiTheme="majorBidi" w:hAnsiTheme="majorBidi" w:cstheme="majorBidi"/>
          <w:sz w:val="24"/>
          <w:szCs w:val="24"/>
        </w:rPr>
        <w:t xml:space="preserve"> in 2014.</w:t>
      </w:r>
      <w:r w:rsidR="00570A20">
        <w:rPr>
          <w:rFonts w:asciiTheme="majorBidi" w:hAnsiTheme="majorBidi" w:cstheme="majorBidi"/>
          <w:sz w:val="24"/>
          <w:szCs w:val="24"/>
        </w:rPr>
        <w:t xml:space="preserve"> Although they differ in terms of absolute magnitudes the time paths of each of the components of this sum are qualitatively similar to the behavior of the total.</w:t>
      </w:r>
      <w:r w:rsidR="00BB75FF">
        <w:rPr>
          <w:rFonts w:asciiTheme="majorBidi" w:hAnsiTheme="majorBidi" w:cstheme="majorBidi"/>
          <w:sz w:val="24"/>
          <w:szCs w:val="24"/>
        </w:rPr>
        <w:t xml:space="preserve"> In terms of magnitudes the total sum is dominated by movements in mortgage related and asset backed bonds. </w:t>
      </w:r>
    </w:p>
    <w:p w:rsidR="00174967" w:rsidRDefault="00570A20" w:rsidP="006C2CC0">
      <w:pPr>
        <w:pStyle w:val="ListParagraph"/>
        <w:ind w:left="0"/>
        <w:jc w:val="both"/>
        <w:rPr>
          <w:rFonts w:asciiTheme="majorBidi" w:hAnsiTheme="majorBidi" w:cstheme="majorBidi"/>
          <w:sz w:val="24"/>
          <w:szCs w:val="24"/>
        </w:rPr>
      </w:pPr>
      <w:r>
        <w:rPr>
          <w:rFonts w:asciiTheme="majorBidi" w:hAnsiTheme="majorBidi" w:cstheme="majorBidi"/>
          <w:sz w:val="24"/>
          <w:szCs w:val="24"/>
        </w:rPr>
        <w:tab/>
        <w:t xml:space="preserve">By contrast </w:t>
      </w:r>
      <w:r w:rsidR="004D60CF">
        <w:rPr>
          <w:rFonts w:asciiTheme="majorBidi" w:hAnsiTheme="majorBidi" w:cstheme="majorBidi"/>
          <w:sz w:val="24"/>
          <w:szCs w:val="24"/>
        </w:rPr>
        <w:t xml:space="preserve">the time path of </w:t>
      </w:r>
      <w:r>
        <w:rPr>
          <w:rFonts w:asciiTheme="majorBidi" w:hAnsiTheme="majorBidi" w:cstheme="majorBidi"/>
          <w:sz w:val="24"/>
          <w:szCs w:val="24"/>
        </w:rPr>
        <w:t xml:space="preserve">net </w:t>
      </w:r>
      <w:r w:rsidR="004D60CF">
        <w:rPr>
          <w:rFonts w:asciiTheme="majorBidi" w:hAnsiTheme="majorBidi" w:cstheme="majorBidi"/>
          <w:sz w:val="24"/>
          <w:szCs w:val="24"/>
        </w:rPr>
        <w:t xml:space="preserve">new </w:t>
      </w:r>
      <w:r>
        <w:rPr>
          <w:rFonts w:asciiTheme="majorBidi" w:hAnsiTheme="majorBidi" w:cstheme="majorBidi"/>
          <w:sz w:val="24"/>
          <w:szCs w:val="24"/>
        </w:rPr>
        <w:t>i</w:t>
      </w:r>
      <w:r w:rsidR="004D60CF">
        <w:rPr>
          <w:rFonts w:asciiTheme="majorBidi" w:hAnsiTheme="majorBidi" w:cstheme="majorBidi"/>
          <w:sz w:val="24"/>
          <w:szCs w:val="24"/>
        </w:rPr>
        <w:t>ssues</w:t>
      </w:r>
      <w:r>
        <w:rPr>
          <w:rFonts w:asciiTheme="majorBidi" w:hAnsiTheme="majorBidi" w:cstheme="majorBidi"/>
          <w:sz w:val="24"/>
          <w:szCs w:val="24"/>
        </w:rPr>
        <w:t xml:space="preserve"> of corporate bonds is quite different.</w:t>
      </w:r>
      <w:r w:rsidR="004D60CF">
        <w:rPr>
          <w:rFonts w:asciiTheme="majorBidi" w:hAnsiTheme="majorBidi" w:cstheme="majorBidi"/>
          <w:sz w:val="24"/>
          <w:szCs w:val="24"/>
        </w:rPr>
        <w:t xml:space="preserve"> Although those issues decreased from about 400 </w:t>
      </w:r>
      <w:proofErr w:type="spellStart"/>
      <w:r w:rsidR="004D60CF">
        <w:rPr>
          <w:rFonts w:asciiTheme="majorBidi" w:hAnsiTheme="majorBidi" w:cstheme="majorBidi"/>
          <w:sz w:val="24"/>
          <w:szCs w:val="24"/>
        </w:rPr>
        <w:t>billions</w:t>
      </w:r>
      <w:proofErr w:type="spellEnd"/>
      <w:r w:rsidR="004D60CF">
        <w:rPr>
          <w:rFonts w:asciiTheme="majorBidi" w:hAnsiTheme="majorBidi" w:cstheme="majorBidi"/>
          <w:sz w:val="24"/>
          <w:szCs w:val="24"/>
        </w:rPr>
        <w:t xml:space="preserve"> </w:t>
      </w:r>
      <w:r w:rsidR="00436C22">
        <w:rPr>
          <w:rFonts w:asciiTheme="majorBidi" w:hAnsiTheme="majorBidi" w:cstheme="majorBidi"/>
          <w:sz w:val="24"/>
          <w:szCs w:val="24"/>
        </w:rPr>
        <w:t xml:space="preserve">in 2007 </w:t>
      </w:r>
      <w:r w:rsidR="00A301AC">
        <w:rPr>
          <w:rFonts w:asciiTheme="majorBidi" w:hAnsiTheme="majorBidi" w:cstheme="majorBidi"/>
          <w:sz w:val="24"/>
          <w:szCs w:val="24"/>
        </w:rPr>
        <w:t xml:space="preserve">to less than 200 </w:t>
      </w:r>
      <w:proofErr w:type="spellStart"/>
      <w:r w:rsidR="00A301AC">
        <w:rPr>
          <w:rFonts w:asciiTheme="majorBidi" w:hAnsiTheme="majorBidi" w:cstheme="majorBidi"/>
          <w:sz w:val="24"/>
          <w:szCs w:val="24"/>
        </w:rPr>
        <w:t>billions</w:t>
      </w:r>
      <w:proofErr w:type="spellEnd"/>
      <w:r w:rsidR="00A301AC">
        <w:rPr>
          <w:rFonts w:asciiTheme="majorBidi" w:hAnsiTheme="majorBidi" w:cstheme="majorBidi"/>
          <w:sz w:val="24"/>
          <w:szCs w:val="24"/>
        </w:rPr>
        <w:t xml:space="preserve"> in 2008 </w:t>
      </w:r>
      <w:r w:rsidR="00436C22">
        <w:rPr>
          <w:rFonts w:asciiTheme="majorBidi" w:hAnsiTheme="majorBidi" w:cstheme="majorBidi"/>
          <w:sz w:val="24"/>
          <w:szCs w:val="24"/>
        </w:rPr>
        <w:t>they actually increase</w:t>
      </w:r>
      <w:r w:rsidR="00467995">
        <w:rPr>
          <w:rFonts w:asciiTheme="majorBidi" w:hAnsiTheme="majorBidi" w:cstheme="majorBidi"/>
          <w:sz w:val="24"/>
          <w:szCs w:val="24"/>
        </w:rPr>
        <w:t>d</w:t>
      </w:r>
      <w:r w:rsidR="00436C22">
        <w:rPr>
          <w:rFonts w:asciiTheme="majorBidi" w:hAnsiTheme="majorBidi" w:cstheme="majorBidi"/>
          <w:sz w:val="24"/>
          <w:szCs w:val="24"/>
        </w:rPr>
        <w:t xml:space="preserve"> to roughly 500 and 600 </w:t>
      </w:r>
      <w:proofErr w:type="spellStart"/>
      <w:r w:rsidR="00436C22">
        <w:rPr>
          <w:rFonts w:asciiTheme="majorBidi" w:hAnsiTheme="majorBidi" w:cstheme="majorBidi"/>
          <w:sz w:val="24"/>
          <w:szCs w:val="24"/>
        </w:rPr>
        <w:t>billions</w:t>
      </w:r>
      <w:proofErr w:type="spellEnd"/>
      <w:r w:rsidR="00436C22">
        <w:rPr>
          <w:rFonts w:asciiTheme="majorBidi" w:hAnsiTheme="majorBidi" w:cstheme="majorBidi"/>
          <w:sz w:val="24"/>
          <w:szCs w:val="24"/>
        </w:rPr>
        <w:t xml:space="preserve"> over 2009 and 20</w:t>
      </w:r>
      <w:r w:rsidR="004D409E">
        <w:rPr>
          <w:rFonts w:asciiTheme="majorBidi" w:hAnsiTheme="majorBidi" w:cstheme="majorBidi"/>
          <w:sz w:val="24"/>
          <w:szCs w:val="24"/>
        </w:rPr>
        <w:t xml:space="preserve">10 </w:t>
      </w:r>
      <w:r w:rsidR="00436C22">
        <w:rPr>
          <w:rFonts w:asciiTheme="majorBidi" w:hAnsiTheme="majorBidi" w:cstheme="majorBidi"/>
          <w:sz w:val="24"/>
          <w:szCs w:val="24"/>
        </w:rPr>
        <w:t>respectiv</w:t>
      </w:r>
      <w:r w:rsidR="00A301AC">
        <w:rPr>
          <w:rFonts w:asciiTheme="majorBidi" w:hAnsiTheme="majorBidi" w:cstheme="majorBidi"/>
          <w:sz w:val="24"/>
          <w:szCs w:val="24"/>
        </w:rPr>
        <w:t>ely (Figure 6). Possible reasons for this contrast are discussed later in this section.</w:t>
      </w:r>
      <w:r w:rsidR="00E503FF">
        <w:rPr>
          <w:rFonts w:asciiTheme="majorBidi" w:hAnsiTheme="majorBidi" w:cstheme="majorBidi"/>
          <w:sz w:val="24"/>
          <w:szCs w:val="24"/>
        </w:rPr>
        <w:t xml:space="preserve"> However since the increase in net new issues of corporate bonds was </w:t>
      </w:r>
      <w:r w:rsidR="004D409E">
        <w:rPr>
          <w:rFonts w:asciiTheme="majorBidi" w:hAnsiTheme="majorBidi" w:cstheme="majorBidi"/>
          <w:sz w:val="24"/>
          <w:szCs w:val="24"/>
        </w:rPr>
        <w:t xml:space="preserve">substantially smaller than the collapse of mortgage related and asset backed bonds </w:t>
      </w:r>
      <w:r w:rsidR="00174967">
        <w:rPr>
          <w:rFonts w:asciiTheme="majorBidi" w:hAnsiTheme="majorBidi" w:cstheme="majorBidi"/>
          <w:sz w:val="24"/>
          <w:szCs w:val="24"/>
        </w:rPr>
        <w:t xml:space="preserve">total net new </w:t>
      </w:r>
      <w:proofErr w:type="spellStart"/>
      <w:r w:rsidR="00174967">
        <w:rPr>
          <w:rFonts w:asciiTheme="majorBidi" w:hAnsiTheme="majorBidi" w:cstheme="majorBidi"/>
          <w:sz w:val="24"/>
          <w:szCs w:val="24"/>
        </w:rPr>
        <w:t>non federal</w:t>
      </w:r>
      <w:proofErr w:type="spellEnd"/>
      <w:r w:rsidR="00174967">
        <w:rPr>
          <w:rFonts w:asciiTheme="majorBidi" w:hAnsiTheme="majorBidi" w:cstheme="majorBidi"/>
          <w:sz w:val="24"/>
          <w:szCs w:val="24"/>
        </w:rPr>
        <w:t xml:space="preserve"> bond issues were still in negative territory as can be seen from Figure 5. </w:t>
      </w:r>
    </w:p>
    <w:p w:rsidR="007C293E" w:rsidRDefault="00527DD3" w:rsidP="00CC4A98">
      <w:pPr>
        <w:pStyle w:val="ListParagraph"/>
        <w:ind w:left="0"/>
        <w:jc w:val="both"/>
        <w:rPr>
          <w:rFonts w:asciiTheme="majorBidi" w:hAnsiTheme="majorBidi" w:cstheme="majorBidi"/>
          <w:sz w:val="24"/>
          <w:szCs w:val="24"/>
        </w:rPr>
      </w:pPr>
      <w:r>
        <w:rPr>
          <w:rFonts w:asciiTheme="majorBidi" w:hAnsiTheme="majorBidi" w:cstheme="majorBidi"/>
          <w:sz w:val="24"/>
          <w:szCs w:val="24"/>
        </w:rPr>
        <w:tab/>
      </w:r>
      <w:r w:rsidR="005B3665">
        <w:rPr>
          <w:rFonts w:asciiTheme="majorBidi" w:hAnsiTheme="majorBidi" w:cstheme="majorBidi"/>
          <w:sz w:val="24"/>
          <w:szCs w:val="24"/>
        </w:rPr>
        <w:t xml:space="preserve"> </w:t>
      </w:r>
    </w:p>
    <w:p w:rsidR="005D6C4E" w:rsidRDefault="005D6C4E" w:rsidP="00141EF5">
      <w:pPr>
        <w:rPr>
          <w:rFonts w:asciiTheme="majorBidi" w:hAnsiTheme="majorBidi" w:cstheme="majorBidi"/>
          <w:sz w:val="24"/>
          <w:szCs w:val="24"/>
        </w:rPr>
        <w:sectPr w:rsidR="005D6C4E" w:rsidSect="008E6105">
          <w:footerReference w:type="default" r:id="rId17"/>
          <w:pgSz w:w="12240" w:h="15840"/>
          <w:pgMar w:top="1440" w:right="1797" w:bottom="1440" w:left="1797" w:header="709" w:footer="709" w:gutter="0"/>
          <w:cols w:space="708"/>
          <w:docGrid w:linePitch="360"/>
        </w:sectPr>
      </w:pPr>
    </w:p>
    <w:p w:rsidR="00141EF5" w:rsidRPr="008E6105" w:rsidRDefault="00EA319D" w:rsidP="00141EF5">
      <w:pPr>
        <w:rPr>
          <w:rFonts w:asciiTheme="majorBidi" w:hAnsiTheme="majorBidi" w:cstheme="majorBidi"/>
          <w:sz w:val="24"/>
          <w:szCs w:val="24"/>
        </w:rPr>
      </w:pPr>
      <w:r w:rsidRPr="008E6105">
        <w:rPr>
          <w:rFonts w:asciiTheme="majorBidi" w:hAnsiTheme="majorBidi" w:cstheme="majorBidi"/>
          <w:noProof/>
          <w:sz w:val="24"/>
          <w:szCs w:val="24"/>
        </w:rPr>
        <w:lastRenderedPageBreak/>
        <w:drawing>
          <wp:inline distT="0" distB="0" distL="0" distR="0">
            <wp:extent cx="7686040" cy="49517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7686040" cy="4951730"/>
                    </a:xfrm>
                    <a:prstGeom prst="rect">
                      <a:avLst/>
                    </a:prstGeom>
                    <a:noFill/>
                    <a:ln w="9525">
                      <a:noFill/>
                      <a:miter lim="800000"/>
                      <a:headEnd/>
                      <a:tailEnd/>
                    </a:ln>
                  </pic:spPr>
                </pic:pic>
              </a:graphicData>
            </a:graphic>
          </wp:inline>
        </w:drawing>
      </w:r>
    </w:p>
    <w:p w:rsidR="007C293E" w:rsidRPr="008E6105" w:rsidRDefault="007C293E" w:rsidP="00043DF4">
      <w:pPr>
        <w:pStyle w:val="ListParagraph"/>
        <w:numPr>
          <w:ilvl w:val="0"/>
          <w:numId w:val="7"/>
        </w:numPr>
        <w:rPr>
          <w:rFonts w:asciiTheme="majorBidi" w:hAnsiTheme="majorBidi" w:cstheme="majorBidi"/>
          <w:sz w:val="28"/>
          <w:szCs w:val="28"/>
        </w:rPr>
        <w:sectPr w:rsidR="007C293E" w:rsidRPr="008E6105" w:rsidSect="005D6C4E">
          <w:pgSz w:w="15840" w:h="12240" w:orient="landscape"/>
          <w:pgMar w:top="1797" w:right="1440" w:bottom="1797" w:left="1440" w:header="709" w:footer="709" w:gutter="0"/>
          <w:cols w:space="708"/>
          <w:docGrid w:linePitch="360"/>
        </w:sectPr>
      </w:pPr>
    </w:p>
    <w:p w:rsidR="00133E1C" w:rsidRDefault="00DC71B9" w:rsidP="000E21E1">
      <w:pPr>
        <w:pStyle w:val="FootnoteText"/>
        <w:spacing w:line="360" w:lineRule="auto"/>
        <w:rPr>
          <w:sz w:val="24"/>
          <w:szCs w:val="24"/>
        </w:rPr>
      </w:pPr>
      <w:r w:rsidRPr="00DC71B9">
        <w:rPr>
          <w:noProof/>
          <w:sz w:val="24"/>
          <w:szCs w:val="24"/>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top</wp:align>
            </wp:positionV>
            <wp:extent cx="6102350" cy="3721100"/>
            <wp:effectExtent l="19050" t="0" r="12700" b="0"/>
            <wp:wrapSquare wrapText="bothSides"/>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A319D" w:rsidRDefault="00EA319D" w:rsidP="00E80C22">
      <w:pPr>
        <w:pStyle w:val="FootnoteText"/>
        <w:spacing w:line="360" w:lineRule="auto"/>
        <w:ind w:left="644"/>
        <w:rPr>
          <w:b/>
          <w:bCs/>
          <w:sz w:val="28"/>
          <w:szCs w:val="28"/>
        </w:rPr>
      </w:pPr>
    </w:p>
    <w:p w:rsidR="00EA319D" w:rsidRDefault="009C591F" w:rsidP="00EA319D">
      <w:pPr>
        <w:pStyle w:val="FootnoteText"/>
        <w:spacing w:line="360" w:lineRule="auto"/>
        <w:ind w:left="644"/>
        <w:rPr>
          <w:b/>
          <w:bCs/>
          <w:sz w:val="28"/>
          <w:szCs w:val="28"/>
        </w:rPr>
      </w:pPr>
      <w:r>
        <w:rPr>
          <w:b/>
          <w:bCs/>
          <w:noProof/>
          <w:sz w:val="28"/>
          <w:szCs w:val="28"/>
        </w:rPr>
        <w:drawing>
          <wp:anchor distT="0" distB="0" distL="114300" distR="114300" simplePos="0" relativeHeight="251677696" behindDoc="0" locked="0" layoutInCell="1" allowOverlap="1">
            <wp:simplePos x="0" y="0"/>
            <wp:positionH relativeFrom="margin">
              <wp:align>center</wp:align>
            </wp:positionH>
            <wp:positionV relativeFrom="margin">
              <wp:align>bottom</wp:align>
            </wp:positionV>
            <wp:extent cx="6280150" cy="3594100"/>
            <wp:effectExtent l="0" t="0" r="6350" b="6350"/>
            <wp:wrapSquare wrapText="bothSides"/>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CB1DD5" w:rsidRDefault="00CB1DD5" w:rsidP="00CB1DD5">
      <w:pPr>
        <w:pStyle w:val="ListParagraph"/>
        <w:ind w:left="0"/>
        <w:jc w:val="both"/>
        <w:rPr>
          <w:rFonts w:asciiTheme="majorBidi" w:hAnsiTheme="majorBidi" w:cstheme="majorBidi"/>
          <w:sz w:val="24"/>
          <w:szCs w:val="24"/>
        </w:rPr>
      </w:pPr>
      <w:r>
        <w:rPr>
          <w:rFonts w:asciiTheme="majorBidi" w:hAnsiTheme="majorBidi" w:cstheme="majorBidi"/>
          <w:sz w:val="24"/>
          <w:szCs w:val="24"/>
        </w:rPr>
        <w:lastRenderedPageBreak/>
        <w:tab/>
        <w:t xml:space="preserve">The flight to safety that engulfed the world in the wake of the subprime crisis substantially raised the demand for treasury securities. From less than 200 </w:t>
      </w:r>
      <w:proofErr w:type="spellStart"/>
      <w:r>
        <w:rPr>
          <w:rFonts w:asciiTheme="majorBidi" w:hAnsiTheme="majorBidi" w:cstheme="majorBidi"/>
          <w:sz w:val="24"/>
          <w:szCs w:val="24"/>
        </w:rPr>
        <w:t>billions</w:t>
      </w:r>
      <w:proofErr w:type="spellEnd"/>
      <w:r>
        <w:rPr>
          <w:rFonts w:asciiTheme="majorBidi" w:hAnsiTheme="majorBidi" w:cstheme="majorBidi"/>
          <w:sz w:val="24"/>
          <w:szCs w:val="24"/>
        </w:rPr>
        <w:t xml:space="preserve"> in 2007 net new issues of treasury securities rose </w:t>
      </w:r>
      <w:proofErr w:type="gramStart"/>
      <w:r>
        <w:rPr>
          <w:rFonts w:asciiTheme="majorBidi" w:hAnsiTheme="majorBidi" w:cstheme="majorBidi"/>
          <w:sz w:val="24"/>
          <w:szCs w:val="24"/>
        </w:rPr>
        <w:t>to</w:t>
      </w:r>
      <w:proofErr w:type="gramEnd"/>
      <w:r>
        <w:rPr>
          <w:rFonts w:asciiTheme="majorBidi" w:hAnsiTheme="majorBidi" w:cstheme="majorBidi"/>
          <w:sz w:val="24"/>
          <w:szCs w:val="24"/>
        </w:rPr>
        <w:t xml:space="preserve"> roughly 1.3, 1.5 and 1.6 </w:t>
      </w:r>
      <w:proofErr w:type="spellStart"/>
      <w:r>
        <w:rPr>
          <w:rFonts w:asciiTheme="majorBidi" w:hAnsiTheme="majorBidi" w:cstheme="majorBidi"/>
          <w:sz w:val="24"/>
          <w:szCs w:val="24"/>
        </w:rPr>
        <w:t>trillions</w:t>
      </w:r>
      <w:proofErr w:type="spellEnd"/>
      <w:r>
        <w:rPr>
          <w:rFonts w:asciiTheme="majorBidi" w:hAnsiTheme="majorBidi" w:cstheme="majorBidi"/>
          <w:sz w:val="24"/>
          <w:szCs w:val="24"/>
        </w:rPr>
        <w:t xml:space="preserve"> in </w:t>
      </w:r>
    </w:p>
    <w:p w:rsidR="00CB1DD5" w:rsidRDefault="00CB1DD5" w:rsidP="00CB1DD5">
      <w:pPr>
        <w:pStyle w:val="ListParagraph"/>
        <w:ind w:left="0"/>
        <w:jc w:val="both"/>
        <w:rPr>
          <w:rFonts w:asciiTheme="majorBidi" w:hAnsiTheme="majorBidi" w:cstheme="majorBidi"/>
          <w:sz w:val="24"/>
          <w:szCs w:val="24"/>
        </w:rPr>
      </w:pPr>
      <w:proofErr w:type="gramStart"/>
      <w:r>
        <w:rPr>
          <w:rFonts w:asciiTheme="majorBidi" w:hAnsiTheme="majorBidi" w:cstheme="majorBidi"/>
          <w:sz w:val="24"/>
          <w:szCs w:val="24"/>
        </w:rPr>
        <w:t>2008, 2009 and 2009 respectively.</w:t>
      </w:r>
      <w:proofErr w:type="gramEnd"/>
      <w:r>
        <w:rPr>
          <w:rFonts w:asciiTheme="majorBidi" w:hAnsiTheme="majorBidi" w:cstheme="majorBidi"/>
          <w:sz w:val="24"/>
          <w:szCs w:val="24"/>
        </w:rPr>
        <w:t xml:space="preserve"> As a consequence total new issues of bonds including those of the federal government remained consistently in positive territory after Lehman’s downfall. However, in comparison to the pre-Lehman’s period and as suggested by Figure 8, the increase in treasury securities did not fully offset the impact of the virtual disappearance of net new issues of mortgage related and asset backed bonds between 2008 and 2013.  </w:t>
      </w:r>
    </w:p>
    <w:p w:rsidR="00EA319D" w:rsidRDefault="00CB1DD5" w:rsidP="00CB1DD5">
      <w:pPr>
        <w:pStyle w:val="ListParagraph"/>
        <w:ind w:left="0"/>
        <w:jc w:val="both"/>
        <w:rPr>
          <w:rFonts w:asciiTheme="majorBidi" w:hAnsiTheme="majorBidi" w:cstheme="majorBidi"/>
          <w:sz w:val="24"/>
          <w:szCs w:val="24"/>
        </w:rPr>
      </w:pPr>
      <w:r>
        <w:rPr>
          <w:rFonts w:asciiTheme="majorBidi" w:hAnsiTheme="majorBidi" w:cstheme="majorBidi"/>
          <w:sz w:val="24"/>
          <w:szCs w:val="24"/>
        </w:rPr>
        <w:tab/>
        <w:t>The dramatic decrease in mortgage related and asset backed bonds is due to the realization by investors in the wake of the crisis that their ability to measure and manage the risks associated with these types of instruments is substantially lower than what they had believed prior to the outbreak of the crisis. The increase in corporate bonds during 2009 and 2010 partially reflects a substitution between these defunct mortgage instruments and corporate bonds due to the perceived increase in the relative riskiness of mortgage related bonds and asset backed securities. It also implies that, the demand for credit by large corporations with good access to the capital market remained substantial in spite of the recession induced by the subprime crisis. The quantitative easing operation of the Fed also contributed to this trend through liquidity injections and by using forward guidance to keep long term rates low.</w:t>
      </w:r>
    </w:p>
    <w:p w:rsidR="002351CC" w:rsidRPr="00CB1DD5" w:rsidRDefault="002351CC" w:rsidP="00B97D46">
      <w:pPr>
        <w:pStyle w:val="ListParagraph"/>
        <w:ind w:left="0"/>
        <w:jc w:val="both"/>
        <w:rPr>
          <w:rFonts w:asciiTheme="majorBidi" w:hAnsiTheme="majorBidi" w:cstheme="majorBidi"/>
          <w:sz w:val="24"/>
          <w:szCs w:val="24"/>
        </w:rPr>
      </w:pPr>
      <w:r>
        <w:rPr>
          <w:rFonts w:asciiTheme="majorBidi" w:hAnsiTheme="majorBidi" w:cstheme="majorBidi"/>
          <w:sz w:val="24"/>
          <w:szCs w:val="24"/>
        </w:rPr>
        <w:tab/>
        <w:t xml:space="preserve">The analysis of an increase in bailout uncertainty from section 2 provides a </w:t>
      </w:r>
      <w:r w:rsidR="00B97D46">
        <w:rPr>
          <w:rFonts w:asciiTheme="majorBidi" w:hAnsiTheme="majorBidi" w:cstheme="majorBidi"/>
          <w:sz w:val="24"/>
          <w:szCs w:val="24"/>
        </w:rPr>
        <w:t xml:space="preserve">more focused </w:t>
      </w:r>
      <w:r>
        <w:rPr>
          <w:rFonts w:asciiTheme="majorBidi" w:hAnsiTheme="majorBidi" w:cstheme="majorBidi"/>
          <w:sz w:val="24"/>
          <w:szCs w:val="24"/>
        </w:rPr>
        <w:t xml:space="preserve">explanation </w:t>
      </w:r>
      <w:r w:rsidR="00B97D46">
        <w:rPr>
          <w:rFonts w:asciiTheme="majorBidi" w:hAnsiTheme="majorBidi" w:cstheme="majorBidi"/>
          <w:sz w:val="24"/>
          <w:szCs w:val="24"/>
        </w:rPr>
        <w:t>for the expansion in corporate issues along with</w:t>
      </w:r>
      <w:r>
        <w:rPr>
          <w:rFonts w:asciiTheme="majorBidi" w:hAnsiTheme="majorBidi" w:cstheme="majorBidi"/>
          <w:sz w:val="24"/>
          <w:szCs w:val="24"/>
        </w:rPr>
        <w:t xml:space="preserve"> the collapse in mortgage related and asset backed </w:t>
      </w:r>
      <w:r w:rsidR="00B97D46">
        <w:rPr>
          <w:rFonts w:asciiTheme="majorBidi" w:hAnsiTheme="majorBidi" w:cstheme="majorBidi"/>
          <w:sz w:val="24"/>
          <w:szCs w:val="24"/>
        </w:rPr>
        <w:t>bond issues during</w:t>
      </w:r>
      <w:r>
        <w:rPr>
          <w:rFonts w:asciiTheme="majorBidi" w:hAnsiTheme="majorBidi" w:cstheme="majorBidi"/>
          <w:sz w:val="24"/>
          <w:szCs w:val="24"/>
        </w:rPr>
        <w:t xml:space="preserve"> </w:t>
      </w:r>
      <w:r w:rsidR="00B97D46">
        <w:rPr>
          <w:rFonts w:asciiTheme="majorBidi" w:hAnsiTheme="majorBidi" w:cstheme="majorBidi"/>
          <w:sz w:val="24"/>
          <w:szCs w:val="24"/>
        </w:rPr>
        <w:t xml:space="preserve">the </w:t>
      </w:r>
      <w:r>
        <w:rPr>
          <w:rFonts w:asciiTheme="majorBidi" w:hAnsiTheme="majorBidi" w:cstheme="majorBidi"/>
          <w:sz w:val="24"/>
          <w:szCs w:val="24"/>
        </w:rPr>
        <w:t>first two post-Lehman years</w:t>
      </w:r>
      <w:r w:rsidR="00A37A0F">
        <w:rPr>
          <w:rFonts w:asciiTheme="majorBidi" w:hAnsiTheme="majorBidi" w:cstheme="majorBidi"/>
          <w:sz w:val="24"/>
          <w:szCs w:val="24"/>
        </w:rPr>
        <w:t>.</w:t>
      </w:r>
      <w:r>
        <w:rPr>
          <w:rFonts w:asciiTheme="majorBidi" w:hAnsiTheme="majorBidi" w:cstheme="majorBidi"/>
          <w:sz w:val="24"/>
          <w:szCs w:val="24"/>
        </w:rPr>
        <w:t xml:space="preserve"> Prior to the decision not to bailout Lehman</w:t>
      </w:r>
      <w:r w:rsidR="00B97D46">
        <w:rPr>
          <w:rFonts w:asciiTheme="majorBidi" w:hAnsiTheme="majorBidi" w:cstheme="majorBidi"/>
          <w:sz w:val="24"/>
          <w:szCs w:val="24"/>
        </w:rPr>
        <w:t xml:space="preserve">’s creditors the mass given to high probabilities of bailouts of </w:t>
      </w:r>
      <w:r w:rsidR="00B97D46" w:rsidRPr="00B97D46">
        <w:rPr>
          <w:rFonts w:asciiTheme="majorBidi" w:hAnsiTheme="majorBidi" w:cstheme="majorBidi"/>
          <w:b/>
          <w:bCs/>
          <w:sz w:val="24"/>
          <w:szCs w:val="24"/>
        </w:rPr>
        <w:t>financial</w:t>
      </w:r>
      <w:r w:rsidR="00B97D46">
        <w:rPr>
          <w:rFonts w:asciiTheme="majorBidi" w:hAnsiTheme="majorBidi" w:cstheme="majorBidi"/>
          <w:sz w:val="24"/>
          <w:szCs w:val="24"/>
        </w:rPr>
        <w:t xml:space="preserve"> institutions was relatively high. Following the decision not to bailout Lehman’s creditors this mass shifted to lower bailout probabilities (in terms of Figure 4 the mass shifted from the red rectangle to the blue one). There was no similar</w:t>
      </w:r>
      <w:r w:rsidR="006A3D34">
        <w:rPr>
          <w:rFonts w:asciiTheme="majorBidi" w:hAnsiTheme="majorBidi" w:cstheme="majorBidi"/>
          <w:sz w:val="24"/>
          <w:szCs w:val="24"/>
        </w:rPr>
        <w:t xml:space="preserve"> pre-Lehman beliefs about high probabilities of bailout for </w:t>
      </w:r>
      <w:proofErr w:type="spellStart"/>
      <w:r w:rsidR="006A3D34" w:rsidRPr="00A37A0F">
        <w:rPr>
          <w:rFonts w:asciiTheme="majorBidi" w:hAnsiTheme="majorBidi" w:cstheme="majorBidi"/>
          <w:b/>
          <w:bCs/>
          <w:sz w:val="24"/>
          <w:szCs w:val="24"/>
        </w:rPr>
        <w:t>non financial</w:t>
      </w:r>
      <w:proofErr w:type="spellEnd"/>
      <w:r w:rsidR="006A3D34">
        <w:rPr>
          <w:rFonts w:asciiTheme="majorBidi" w:hAnsiTheme="majorBidi" w:cstheme="majorBidi"/>
          <w:sz w:val="24"/>
          <w:szCs w:val="24"/>
        </w:rPr>
        <w:t xml:space="preserve"> enterprises, and if there were some, they did not change much between the pre and the post Lehman eras. </w:t>
      </w:r>
      <w:r w:rsidR="00A37A0F">
        <w:rPr>
          <w:rFonts w:asciiTheme="majorBidi" w:hAnsiTheme="majorBidi" w:cstheme="majorBidi"/>
          <w:sz w:val="24"/>
          <w:szCs w:val="24"/>
        </w:rPr>
        <w:t xml:space="preserve">As a consequence </w:t>
      </w:r>
      <w:proofErr w:type="spellStart"/>
      <w:r w:rsidR="00A37A0F">
        <w:rPr>
          <w:rFonts w:asciiTheme="majorBidi" w:hAnsiTheme="majorBidi" w:cstheme="majorBidi"/>
          <w:sz w:val="24"/>
          <w:szCs w:val="24"/>
        </w:rPr>
        <w:t>non financial</w:t>
      </w:r>
      <w:proofErr w:type="spellEnd"/>
      <w:r w:rsidR="00A37A0F">
        <w:rPr>
          <w:rFonts w:asciiTheme="majorBidi" w:hAnsiTheme="majorBidi" w:cstheme="majorBidi"/>
          <w:sz w:val="24"/>
          <w:szCs w:val="24"/>
        </w:rPr>
        <w:t xml:space="preserve"> corporate bonds became attractive relatively to mortgage and asset backed bonds.  </w:t>
      </w:r>
    </w:p>
    <w:p w:rsidR="00972DD9" w:rsidRDefault="009C591F" w:rsidP="00CB1DD5">
      <w:pPr>
        <w:pStyle w:val="FootnoteText"/>
        <w:spacing w:line="360" w:lineRule="auto"/>
        <w:ind w:left="644"/>
        <w:rPr>
          <w:b/>
          <w:bCs/>
          <w:sz w:val="28"/>
          <w:szCs w:val="28"/>
        </w:rPr>
      </w:pPr>
      <w:r>
        <w:rPr>
          <w:b/>
          <w:bCs/>
          <w:noProof/>
          <w:sz w:val="28"/>
          <w:szCs w:val="28"/>
        </w:rPr>
        <w:lastRenderedPageBreak/>
        <w:drawing>
          <wp:anchor distT="0" distB="0" distL="114300" distR="114300" simplePos="0" relativeHeight="251679744" behindDoc="0" locked="0" layoutInCell="1" allowOverlap="1" wp14:anchorId="5CE437F3" wp14:editId="3A43512D">
            <wp:simplePos x="0" y="0"/>
            <wp:positionH relativeFrom="margin">
              <wp:posOffset>-488950</wp:posOffset>
            </wp:positionH>
            <wp:positionV relativeFrom="margin">
              <wp:posOffset>1079500</wp:posOffset>
            </wp:positionV>
            <wp:extent cx="6673850" cy="5219700"/>
            <wp:effectExtent l="19050" t="0" r="12700" b="0"/>
            <wp:wrapSquare wrapText="bothSides"/>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70E0E" w:rsidRDefault="00570E0E" w:rsidP="00EA319D">
      <w:pPr>
        <w:pStyle w:val="FootnoteText"/>
        <w:spacing w:line="360" w:lineRule="auto"/>
        <w:ind w:left="644"/>
        <w:rPr>
          <w:b/>
          <w:bCs/>
          <w:sz w:val="28"/>
          <w:szCs w:val="28"/>
        </w:rPr>
      </w:pPr>
    </w:p>
    <w:p w:rsidR="00660BD3" w:rsidRDefault="00660BD3" w:rsidP="00EA319D">
      <w:pPr>
        <w:pStyle w:val="FootnoteText"/>
        <w:spacing w:line="360" w:lineRule="auto"/>
        <w:ind w:left="644"/>
        <w:rPr>
          <w:b/>
          <w:bCs/>
          <w:sz w:val="28"/>
          <w:szCs w:val="28"/>
        </w:rPr>
      </w:pPr>
    </w:p>
    <w:p w:rsidR="00545CE3" w:rsidRDefault="00545CE3" w:rsidP="00DA5C5B">
      <w:pPr>
        <w:pStyle w:val="FootnoteText"/>
        <w:spacing w:line="360" w:lineRule="auto"/>
        <w:ind w:left="644"/>
        <w:rPr>
          <w:b/>
          <w:bCs/>
          <w:sz w:val="28"/>
          <w:szCs w:val="28"/>
        </w:rPr>
      </w:pPr>
    </w:p>
    <w:p w:rsidR="006817FF" w:rsidRDefault="00DA5C5B" w:rsidP="00545CE3">
      <w:pPr>
        <w:pStyle w:val="FootnoteText"/>
        <w:spacing w:line="360" w:lineRule="auto"/>
        <w:ind w:left="644" w:firstLine="65"/>
        <w:rPr>
          <w:sz w:val="24"/>
          <w:szCs w:val="24"/>
        </w:rPr>
      </w:pPr>
      <w:r>
        <w:rPr>
          <w:b/>
          <w:bCs/>
          <w:sz w:val="28"/>
          <w:szCs w:val="28"/>
        </w:rPr>
        <w:t xml:space="preserve">4. </w:t>
      </w:r>
      <w:r w:rsidR="002417CA">
        <w:rPr>
          <w:b/>
          <w:bCs/>
          <w:sz w:val="28"/>
          <w:szCs w:val="28"/>
        </w:rPr>
        <w:t>Why</w:t>
      </w:r>
      <w:r w:rsidR="00F353EF">
        <w:rPr>
          <w:b/>
          <w:bCs/>
          <w:sz w:val="28"/>
          <w:szCs w:val="28"/>
        </w:rPr>
        <w:t xml:space="preserve"> </w:t>
      </w:r>
      <w:r w:rsidR="002417CA">
        <w:rPr>
          <w:b/>
          <w:bCs/>
          <w:sz w:val="28"/>
          <w:szCs w:val="28"/>
        </w:rPr>
        <w:t xml:space="preserve">is </w:t>
      </w:r>
      <w:r w:rsidR="00F353EF">
        <w:rPr>
          <w:b/>
          <w:bCs/>
          <w:sz w:val="28"/>
          <w:szCs w:val="28"/>
        </w:rPr>
        <w:t xml:space="preserve">the </w:t>
      </w:r>
      <w:r w:rsidR="002417CA">
        <w:rPr>
          <w:b/>
          <w:bCs/>
          <w:sz w:val="28"/>
          <w:szCs w:val="28"/>
        </w:rPr>
        <w:t>inflationary impact of the highly</w:t>
      </w:r>
      <w:r w:rsidR="00F353EF">
        <w:rPr>
          <w:b/>
          <w:bCs/>
          <w:sz w:val="28"/>
          <w:szCs w:val="28"/>
        </w:rPr>
        <w:t xml:space="preserve"> expansionary monetary policies</w:t>
      </w:r>
      <w:r w:rsidR="00F353EF" w:rsidRPr="00F353EF">
        <w:rPr>
          <w:b/>
          <w:bCs/>
          <w:sz w:val="28"/>
          <w:szCs w:val="28"/>
        </w:rPr>
        <w:t xml:space="preserve"> since Lehman</w:t>
      </w:r>
      <w:r w:rsidR="00F353EF">
        <w:rPr>
          <w:b/>
          <w:bCs/>
          <w:sz w:val="28"/>
          <w:szCs w:val="28"/>
        </w:rPr>
        <w:t>’s collapse</w:t>
      </w:r>
      <w:r w:rsidR="002417CA">
        <w:rPr>
          <w:b/>
          <w:bCs/>
          <w:sz w:val="28"/>
          <w:szCs w:val="28"/>
        </w:rPr>
        <w:t xml:space="preserve"> so muted?</w:t>
      </w:r>
      <w:r w:rsidR="004222D9">
        <w:rPr>
          <w:sz w:val="24"/>
          <w:szCs w:val="24"/>
        </w:rPr>
        <w:tab/>
      </w:r>
    </w:p>
    <w:p w:rsidR="006817FF" w:rsidRDefault="00FA0B9D" w:rsidP="00FA0B9D">
      <w:pPr>
        <w:pStyle w:val="FootnoteText"/>
        <w:spacing w:line="360" w:lineRule="auto"/>
        <w:rPr>
          <w:sz w:val="24"/>
          <w:szCs w:val="24"/>
        </w:rPr>
      </w:pPr>
      <w:r>
        <w:rPr>
          <w:sz w:val="24"/>
          <w:szCs w:val="24"/>
        </w:rPr>
        <w:t>Between</w:t>
      </w:r>
      <w:r w:rsidR="006817FF" w:rsidRPr="002417CA">
        <w:rPr>
          <w:sz w:val="24"/>
          <w:szCs w:val="24"/>
        </w:rPr>
        <w:t xml:space="preserve"> Lehman’s c</w:t>
      </w:r>
      <w:r>
        <w:rPr>
          <w:sz w:val="24"/>
          <w:szCs w:val="24"/>
        </w:rPr>
        <w:t>ollapse and</w:t>
      </w:r>
      <w:r w:rsidR="006817FF" w:rsidRPr="002417CA">
        <w:rPr>
          <w:sz w:val="24"/>
          <w:szCs w:val="24"/>
        </w:rPr>
        <w:t xml:space="preserve"> </w:t>
      </w:r>
      <w:r>
        <w:rPr>
          <w:sz w:val="24"/>
          <w:szCs w:val="24"/>
        </w:rPr>
        <w:t xml:space="preserve">September 2014 </w:t>
      </w:r>
      <w:r w:rsidR="006817FF">
        <w:rPr>
          <w:sz w:val="24"/>
          <w:szCs w:val="24"/>
        </w:rPr>
        <w:t xml:space="preserve">high powered money </w:t>
      </w:r>
      <w:r>
        <w:rPr>
          <w:sz w:val="24"/>
          <w:szCs w:val="24"/>
        </w:rPr>
        <w:t xml:space="preserve">in the US </w:t>
      </w:r>
      <w:r w:rsidR="006817FF">
        <w:rPr>
          <w:sz w:val="24"/>
          <w:szCs w:val="24"/>
        </w:rPr>
        <w:t>more</w:t>
      </w:r>
      <w:r>
        <w:rPr>
          <w:sz w:val="24"/>
          <w:szCs w:val="24"/>
        </w:rPr>
        <w:t xml:space="preserve"> than quadrupled</w:t>
      </w:r>
      <w:r w:rsidR="006817FF" w:rsidRPr="002417CA">
        <w:rPr>
          <w:sz w:val="24"/>
          <w:szCs w:val="24"/>
        </w:rPr>
        <w:t xml:space="preserve">. In spite of these huge quantitative easing </w:t>
      </w:r>
      <w:r w:rsidR="000005CC">
        <w:rPr>
          <w:sz w:val="24"/>
          <w:szCs w:val="24"/>
        </w:rPr>
        <w:t xml:space="preserve">(QE) </w:t>
      </w:r>
      <w:r w:rsidR="006817FF" w:rsidRPr="002417CA">
        <w:rPr>
          <w:sz w:val="24"/>
          <w:szCs w:val="24"/>
        </w:rPr>
        <w:t>operations and a per</w:t>
      </w:r>
      <w:r w:rsidR="000005CC">
        <w:rPr>
          <w:sz w:val="24"/>
          <w:szCs w:val="24"/>
        </w:rPr>
        <w:t xml:space="preserve">sistently low </w:t>
      </w:r>
      <w:r w:rsidR="006817FF" w:rsidRPr="002417CA">
        <w:rPr>
          <w:sz w:val="24"/>
          <w:szCs w:val="24"/>
        </w:rPr>
        <w:t>policy rate at the zero bound US inflations remains low</w:t>
      </w:r>
      <w:r w:rsidR="006817FF">
        <w:rPr>
          <w:sz w:val="24"/>
          <w:szCs w:val="24"/>
        </w:rPr>
        <w:t xml:space="preserve"> (Details appear in Cukierman</w:t>
      </w:r>
      <w:r>
        <w:rPr>
          <w:sz w:val="24"/>
          <w:szCs w:val="24"/>
        </w:rPr>
        <w:t xml:space="preserve"> </w:t>
      </w:r>
      <w:r w:rsidR="00C4084A">
        <w:rPr>
          <w:sz w:val="24"/>
          <w:szCs w:val="24"/>
        </w:rPr>
        <w:t xml:space="preserve">(2013)). </w:t>
      </w:r>
      <w:r>
        <w:rPr>
          <w:sz w:val="24"/>
          <w:szCs w:val="24"/>
        </w:rPr>
        <w:t>To believers in some</w:t>
      </w:r>
      <w:r w:rsidR="006817FF" w:rsidRPr="002417CA">
        <w:rPr>
          <w:sz w:val="24"/>
          <w:szCs w:val="24"/>
        </w:rPr>
        <w:t xml:space="preserve"> basic version of the quant</w:t>
      </w:r>
      <w:r w:rsidR="006817FF">
        <w:rPr>
          <w:sz w:val="24"/>
          <w:szCs w:val="24"/>
        </w:rPr>
        <w:t xml:space="preserve">ity theory this </w:t>
      </w:r>
      <w:r w:rsidR="006817FF">
        <w:rPr>
          <w:sz w:val="24"/>
          <w:szCs w:val="24"/>
        </w:rPr>
        <w:lastRenderedPageBreak/>
        <w:t>might appear</w:t>
      </w:r>
      <w:r w:rsidR="006C2CC0">
        <w:rPr>
          <w:sz w:val="24"/>
          <w:szCs w:val="24"/>
        </w:rPr>
        <w:t xml:space="preserve"> </w:t>
      </w:r>
      <w:r w:rsidR="006817FF" w:rsidRPr="002417CA">
        <w:rPr>
          <w:sz w:val="24"/>
          <w:szCs w:val="24"/>
        </w:rPr>
        <w:t>surprising at first blush. However, if due to the slowdown in credit grow</w:t>
      </w:r>
      <w:r w:rsidR="006817FF">
        <w:rPr>
          <w:sz w:val="24"/>
          <w:szCs w:val="24"/>
        </w:rPr>
        <w:t>th since the</w:t>
      </w:r>
      <w:r w:rsidR="006C2CC0">
        <w:rPr>
          <w:sz w:val="24"/>
          <w:szCs w:val="24"/>
        </w:rPr>
        <w:t xml:space="preserve"> </w:t>
      </w:r>
      <w:r w:rsidR="006817FF" w:rsidRPr="002417CA">
        <w:rPr>
          <w:sz w:val="24"/>
          <w:szCs w:val="24"/>
        </w:rPr>
        <w:t xml:space="preserve">Lehman event higher order monetary stocks like M1 and M2 </w:t>
      </w:r>
      <w:r w:rsidR="006817FF">
        <w:rPr>
          <w:sz w:val="24"/>
          <w:szCs w:val="24"/>
        </w:rPr>
        <w:t>did not keep up with the</w:t>
      </w:r>
      <w:r w:rsidR="006C2CC0">
        <w:rPr>
          <w:sz w:val="24"/>
          <w:szCs w:val="24"/>
        </w:rPr>
        <w:t xml:space="preserve"> </w:t>
      </w:r>
      <w:r w:rsidR="006817FF" w:rsidRPr="002417CA">
        <w:rPr>
          <w:sz w:val="24"/>
          <w:szCs w:val="24"/>
        </w:rPr>
        <w:t>growth in high p</w:t>
      </w:r>
      <w:r w:rsidR="000005CC">
        <w:rPr>
          <w:sz w:val="24"/>
          <w:szCs w:val="24"/>
        </w:rPr>
        <w:t xml:space="preserve">owered money this phenomenon would be </w:t>
      </w:r>
      <w:r w:rsidR="006817FF" w:rsidRPr="002417CA">
        <w:rPr>
          <w:sz w:val="24"/>
          <w:szCs w:val="24"/>
        </w:rPr>
        <w:t xml:space="preserve">more understandable. </w:t>
      </w:r>
    </w:p>
    <w:p w:rsidR="0083757F" w:rsidRDefault="000005CC" w:rsidP="006C2CC0">
      <w:pPr>
        <w:pStyle w:val="FootnoteText"/>
        <w:spacing w:line="360" w:lineRule="auto"/>
        <w:jc w:val="both"/>
        <w:rPr>
          <w:sz w:val="24"/>
          <w:szCs w:val="24"/>
        </w:rPr>
      </w:pPr>
      <w:r>
        <w:rPr>
          <w:sz w:val="24"/>
          <w:szCs w:val="24"/>
        </w:rPr>
        <w:tab/>
        <w:t xml:space="preserve">Due to the fact that the bulk of QE operations </w:t>
      </w:r>
      <w:r w:rsidR="0080520E">
        <w:rPr>
          <w:sz w:val="24"/>
          <w:szCs w:val="24"/>
        </w:rPr>
        <w:t xml:space="preserve">are done through open market purchases of bonds a large part of </w:t>
      </w:r>
      <w:r w:rsidR="006817FF" w:rsidRPr="002417CA">
        <w:rPr>
          <w:sz w:val="24"/>
          <w:szCs w:val="24"/>
        </w:rPr>
        <w:t>the l</w:t>
      </w:r>
      <w:r w:rsidR="0080520E">
        <w:rPr>
          <w:sz w:val="24"/>
          <w:szCs w:val="24"/>
        </w:rPr>
        <w:t xml:space="preserve">iquidity injected by the Fed takes </w:t>
      </w:r>
      <w:r w:rsidR="006817FF">
        <w:rPr>
          <w:sz w:val="24"/>
          <w:szCs w:val="24"/>
        </w:rPr>
        <w:t xml:space="preserve">the form </w:t>
      </w:r>
      <w:r w:rsidR="006817FF" w:rsidRPr="002417CA">
        <w:rPr>
          <w:sz w:val="24"/>
          <w:szCs w:val="24"/>
        </w:rPr>
        <w:t>of banking reserves</w:t>
      </w:r>
      <w:r w:rsidR="0080520E">
        <w:rPr>
          <w:sz w:val="24"/>
          <w:szCs w:val="24"/>
        </w:rPr>
        <w:t>.</w:t>
      </w:r>
      <w:r w:rsidR="0080520E">
        <w:rPr>
          <w:rStyle w:val="FootnoteReference"/>
          <w:sz w:val="24"/>
          <w:szCs w:val="24"/>
        </w:rPr>
        <w:footnoteReference w:id="9"/>
      </w:r>
      <w:r w:rsidR="0080520E">
        <w:rPr>
          <w:sz w:val="24"/>
          <w:szCs w:val="24"/>
        </w:rPr>
        <w:t xml:space="preserve"> </w:t>
      </w:r>
      <w:r w:rsidR="00420296">
        <w:rPr>
          <w:sz w:val="24"/>
          <w:szCs w:val="24"/>
        </w:rPr>
        <w:t xml:space="preserve"> </w:t>
      </w:r>
      <w:proofErr w:type="gramStart"/>
      <w:r w:rsidR="00420296">
        <w:rPr>
          <w:sz w:val="24"/>
          <w:szCs w:val="24"/>
        </w:rPr>
        <w:t xml:space="preserve">As shown in previous sections, in spite of this huge accumulation of reserves, banking </w:t>
      </w:r>
      <w:r w:rsidR="006817FF" w:rsidRPr="002417CA">
        <w:rPr>
          <w:sz w:val="24"/>
          <w:szCs w:val="24"/>
        </w:rPr>
        <w:t xml:space="preserve">credit </w:t>
      </w:r>
      <w:r w:rsidR="00420296">
        <w:rPr>
          <w:sz w:val="24"/>
          <w:szCs w:val="24"/>
        </w:rPr>
        <w:t>increase</w:t>
      </w:r>
      <w:r w:rsidR="00D43860">
        <w:rPr>
          <w:sz w:val="24"/>
          <w:szCs w:val="24"/>
        </w:rPr>
        <w:t>d very little or not at all breaking the transmission</w:t>
      </w:r>
      <w:r w:rsidR="006817FF" w:rsidRPr="002417CA">
        <w:rPr>
          <w:sz w:val="24"/>
          <w:szCs w:val="24"/>
        </w:rPr>
        <w:t xml:space="preserve"> </w:t>
      </w:r>
      <w:r w:rsidR="00D43860">
        <w:rPr>
          <w:sz w:val="24"/>
          <w:szCs w:val="24"/>
        </w:rPr>
        <w:t xml:space="preserve">to higher </w:t>
      </w:r>
      <w:r w:rsidR="006817FF" w:rsidRPr="002417CA">
        <w:rPr>
          <w:sz w:val="24"/>
          <w:szCs w:val="24"/>
        </w:rPr>
        <w:t>o</w:t>
      </w:r>
      <w:r w:rsidR="006817FF">
        <w:rPr>
          <w:sz w:val="24"/>
          <w:szCs w:val="24"/>
        </w:rPr>
        <w:t xml:space="preserve">rder monetary </w:t>
      </w:r>
      <w:r w:rsidR="00D43860">
        <w:rPr>
          <w:sz w:val="24"/>
          <w:szCs w:val="24"/>
        </w:rPr>
        <w:t>stocks.</w:t>
      </w:r>
      <w:proofErr w:type="gramEnd"/>
      <w:r w:rsidR="00D43860">
        <w:rPr>
          <w:sz w:val="24"/>
          <w:szCs w:val="24"/>
        </w:rPr>
        <w:t xml:space="preserve"> Either </w:t>
      </w:r>
      <w:r w:rsidR="006817FF" w:rsidRPr="002417CA">
        <w:rPr>
          <w:sz w:val="24"/>
          <w:szCs w:val="24"/>
        </w:rPr>
        <w:t>b</w:t>
      </w:r>
      <w:r w:rsidR="00D43860">
        <w:rPr>
          <w:sz w:val="24"/>
          <w:szCs w:val="24"/>
        </w:rPr>
        <w:t xml:space="preserve">ecause of “flight to safety” reasons </w:t>
      </w:r>
      <w:r w:rsidR="006817FF" w:rsidRPr="002417CA">
        <w:rPr>
          <w:sz w:val="24"/>
          <w:szCs w:val="24"/>
        </w:rPr>
        <w:t xml:space="preserve">or because of low </w:t>
      </w:r>
      <w:r w:rsidR="00B311B1" w:rsidRPr="006817FF">
        <w:rPr>
          <w:sz w:val="24"/>
          <w:szCs w:val="24"/>
        </w:rPr>
        <w:t>d</w:t>
      </w:r>
      <w:r w:rsidR="00D43860">
        <w:rPr>
          <w:sz w:val="24"/>
          <w:szCs w:val="24"/>
        </w:rPr>
        <w:t xml:space="preserve">emand for credit, or for </w:t>
      </w:r>
      <w:r w:rsidR="00B311B1" w:rsidRPr="006817FF">
        <w:rPr>
          <w:sz w:val="24"/>
          <w:szCs w:val="24"/>
        </w:rPr>
        <w:t>both reasons</w:t>
      </w:r>
      <w:r>
        <w:rPr>
          <w:sz w:val="24"/>
          <w:szCs w:val="24"/>
        </w:rPr>
        <w:t xml:space="preserve"> the </w:t>
      </w:r>
      <w:proofErr w:type="spellStart"/>
      <w:r w:rsidR="006817FF">
        <w:rPr>
          <w:sz w:val="24"/>
          <w:szCs w:val="24"/>
        </w:rPr>
        <w:t>portofolio</w:t>
      </w:r>
      <w:proofErr w:type="spellEnd"/>
      <w:r w:rsidR="006817FF">
        <w:rPr>
          <w:sz w:val="24"/>
          <w:szCs w:val="24"/>
        </w:rPr>
        <w:t xml:space="preserve"> of the </w:t>
      </w:r>
      <w:r w:rsidR="00B311B1" w:rsidRPr="006817FF">
        <w:rPr>
          <w:sz w:val="24"/>
          <w:szCs w:val="24"/>
        </w:rPr>
        <w:t>banking sy</w:t>
      </w:r>
      <w:r w:rsidR="00D43860">
        <w:rPr>
          <w:sz w:val="24"/>
          <w:szCs w:val="24"/>
        </w:rPr>
        <w:t xml:space="preserve">stem in the post Lehman era dramatically </w:t>
      </w:r>
      <w:r w:rsidR="00B311B1" w:rsidRPr="006817FF">
        <w:rPr>
          <w:sz w:val="24"/>
          <w:szCs w:val="24"/>
        </w:rPr>
        <w:t>shifted</w:t>
      </w:r>
      <w:r>
        <w:rPr>
          <w:sz w:val="24"/>
          <w:szCs w:val="24"/>
        </w:rPr>
        <w:t xml:space="preserve"> away </w:t>
      </w:r>
      <w:r w:rsidR="00D43860">
        <w:rPr>
          <w:sz w:val="24"/>
          <w:szCs w:val="24"/>
        </w:rPr>
        <w:t>from the extension of new credit</w:t>
      </w:r>
      <w:r w:rsidR="00B311B1" w:rsidRPr="006817FF">
        <w:rPr>
          <w:sz w:val="24"/>
          <w:szCs w:val="24"/>
        </w:rPr>
        <w:t xml:space="preserve">. </w:t>
      </w:r>
      <w:r w:rsidR="006817FF">
        <w:rPr>
          <w:sz w:val="24"/>
          <w:szCs w:val="24"/>
        </w:rPr>
        <w:t>Essentially,</w:t>
      </w:r>
      <w:r w:rsidR="00D43860">
        <w:rPr>
          <w:sz w:val="24"/>
          <w:szCs w:val="24"/>
        </w:rPr>
        <w:t xml:space="preserve"> banks passively absorbed the </w:t>
      </w:r>
      <w:r w:rsidR="006817FF">
        <w:rPr>
          <w:sz w:val="24"/>
          <w:szCs w:val="24"/>
        </w:rPr>
        <w:t xml:space="preserve">high powered </w:t>
      </w:r>
      <w:r w:rsidR="00B311B1" w:rsidRPr="006817FF">
        <w:rPr>
          <w:sz w:val="24"/>
          <w:szCs w:val="24"/>
        </w:rPr>
        <w:t xml:space="preserve">money </w:t>
      </w:r>
      <w:r w:rsidR="00D43860">
        <w:rPr>
          <w:sz w:val="24"/>
          <w:szCs w:val="24"/>
        </w:rPr>
        <w:t>supplied by the F</w:t>
      </w:r>
      <w:r w:rsidR="00EE368F">
        <w:rPr>
          <w:sz w:val="24"/>
          <w:szCs w:val="24"/>
        </w:rPr>
        <w:t xml:space="preserve">ed – a phenomenon strongly reminiscent of the textbook liquidity trap. </w:t>
      </w:r>
      <w:r w:rsidR="0027528E">
        <w:rPr>
          <w:sz w:val="24"/>
          <w:szCs w:val="24"/>
        </w:rPr>
        <w:t xml:space="preserve">Between </w:t>
      </w:r>
      <w:r w:rsidR="00EE368F">
        <w:rPr>
          <w:sz w:val="24"/>
          <w:szCs w:val="24"/>
        </w:rPr>
        <w:t>Lehman’</w:t>
      </w:r>
      <w:r w:rsidR="0027528E">
        <w:rPr>
          <w:sz w:val="24"/>
          <w:szCs w:val="24"/>
        </w:rPr>
        <w:t>s collapse and May 2014 base money in the US quadrupled</w:t>
      </w:r>
      <w:r w:rsidR="0027528E" w:rsidRPr="00527661">
        <w:rPr>
          <w:sz w:val="24"/>
          <w:szCs w:val="24"/>
        </w:rPr>
        <w:t>.</w:t>
      </w:r>
      <w:r w:rsidR="00EE368F" w:rsidRPr="00527661">
        <w:rPr>
          <w:sz w:val="24"/>
          <w:szCs w:val="24"/>
        </w:rPr>
        <w:t xml:space="preserve"> </w:t>
      </w:r>
      <w:r w:rsidR="0027528E" w:rsidRPr="00527661">
        <w:rPr>
          <w:sz w:val="24"/>
          <w:szCs w:val="24"/>
        </w:rPr>
        <w:t>But, d</w:t>
      </w:r>
      <w:r w:rsidR="00EE368F" w:rsidRPr="00527661">
        <w:rPr>
          <w:sz w:val="24"/>
          <w:szCs w:val="24"/>
        </w:rPr>
        <w:t>ue to banks’</w:t>
      </w:r>
      <w:r w:rsidR="001853A0" w:rsidRPr="00527661">
        <w:rPr>
          <w:sz w:val="24"/>
          <w:szCs w:val="24"/>
        </w:rPr>
        <w:t xml:space="preserve"> </w:t>
      </w:r>
      <w:r w:rsidR="00EE368F" w:rsidRPr="00527661">
        <w:rPr>
          <w:sz w:val="24"/>
          <w:szCs w:val="24"/>
        </w:rPr>
        <w:t>reluctance to lend</w:t>
      </w:r>
      <w:r w:rsidR="0027528E" w:rsidRPr="00527661">
        <w:rPr>
          <w:sz w:val="24"/>
          <w:szCs w:val="24"/>
        </w:rPr>
        <w:t>,</w:t>
      </w:r>
      <w:r w:rsidR="00EE368F" w:rsidRPr="00527661">
        <w:rPr>
          <w:sz w:val="24"/>
          <w:szCs w:val="24"/>
        </w:rPr>
        <w:t xml:space="preserve"> </w:t>
      </w:r>
      <w:r w:rsidR="0027528E" w:rsidRPr="00527661">
        <w:rPr>
          <w:sz w:val="24"/>
          <w:szCs w:val="24"/>
        </w:rPr>
        <w:t>only a fraction</w:t>
      </w:r>
      <w:r w:rsidR="001853A0" w:rsidRPr="00527661">
        <w:rPr>
          <w:sz w:val="24"/>
          <w:szCs w:val="24"/>
        </w:rPr>
        <w:t xml:space="preserve"> </w:t>
      </w:r>
      <w:r w:rsidR="0027528E" w:rsidRPr="00527661">
        <w:rPr>
          <w:sz w:val="24"/>
          <w:szCs w:val="24"/>
        </w:rPr>
        <w:t xml:space="preserve">of this extraordinary base </w:t>
      </w:r>
      <w:r w:rsidR="001853A0" w:rsidRPr="00527661">
        <w:rPr>
          <w:sz w:val="24"/>
          <w:szCs w:val="24"/>
        </w:rPr>
        <w:t>expansion took the form of increases in higher order monetary stocks. Be</w:t>
      </w:r>
      <w:r w:rsidR="001853A0">
        <w:rPr>
          <w:sz w:val="24"/>
          <w:szCs w:val="24"/>
        </w:rPr>
        <w:t xml:space="preserve">tween </w:t>
      </w:r>
      <w:r w:rsidR="00F06078">
        <w:rPr>
          <w:sz w:val="24"/>
          <w:szCs w:val="24"/>
        </w:rPr>
        <w:t xml:space="preserve">June 2008 and September 2013 high powered money (H) increased by </w:t>
      </w:r>
      <w:r w:rsidR="0070574E">
        <w:rPr>
          <w:sz w:val="24"/>
          <w:szCs w:val="24"/>
        </w:rPr>
        <w:t xml:space="preserve">306% while </w:t>
      </w:r>
      <w:r w:rsidR="00F06078">
        <w:rPr>
          <w:sz w:val="24"/>
          <w:szCs w:val="24"/>
        </w:rPr>
        <w:t>M1 and M2 increased by</w:t>
      </w:r>
      <w:r w:rsidR="0027528E">
        <w:rPr>
          <w:sz w:val="24"/>
          <w:szCs w:val="24"/>
        </w:rPr>
        <w:t xml:space="preserve"> only 84% and 41% respectively. As a consequence the inflationary impact of this </w:t>
      </w:r>
      <w:r w:rsidR="0070574E">
        <w:rPr>
          <w:sz w:val="24"/>
          <w:szCs w:val="24"/>
        </w:rPr>
        <w:t xml:space="preserve">expansion was </w:t>
      </w:r>
      <w:r w:rsidR="0027528E">
        <w:rPr>
          <w:sz w:val="24"/>
          <w:szCs w:val="24"/>
        </w:rPr>
        <w:t xml:space="preserve">and still is </w:t>
      </w:r>
      <w:r w:rsidR="0070574E">
        <w:rPr>
          <w:sz w:val="24"/>
          <w:szCs w:val="24"/>
        </w:rPr>
        <w:t xml:space="preserve">muted. </w:t>
      </w:r>
    </w:p>
    <w:p w:rsidR="002417CA" w:rsidRDefault="0083757F" w:rsidP="006C2CC0">
      <w:pPr>
        <w:pStyle w:val="FootnoteText"/>
        <w:spacing w:line="360" w:lineRule="auto"/>
        <w:jc w:val="both"/>
        <w:rPr>
          <w:sz w:val="24"/>
          <w:szCs w:val="24"/>
        </w:rPr>
      </w:pPr>
      <w:r>
        <w:rPr>
          <w:sz w:val="24"/>
          <w:szCs w:val="24"/>
        </w:rPr>
        <w:tab/>
      </w:r>
      <w:r w:rsidR="00C01C32">
        <w:rPr>
          <w:sz w:val="24"/>
          <w:szCs w:val="24"/>
        </w:rPr>
        <w:t>Figure 9</w:t>
      </w:r>
      <w:r>
        <w:rPr>
          <w:sz w:val="24"/>
          <w:szCs w:val="24"/>
        </w:rPr>
        <w:t xml:space="preserve"> shows the evolution of H, M1 and M2 on a logarithmic scale between June 2008 and September 2013. Since the levels of all three stocks are normalize</w:t>
      </w:r>
      <w:r w:rsidR="00944AA5">
        <w:rPr>
          <w:sz w:val="24"/>
          <w:szCs w:val="24"/>
        </w:rPr>
        <w:t>d</w:t>
      </w:r>
      <w:r>
        <w:rPr>
          <w:sz w:val="24"/>
          <w:szCs w:val="24"/>
        </w:rPr>
        <w:t xml:space="preserve"> </w:t>
      </w:r>
      <w:r w:rsidR="00336D44">
        <w:rPr>
          <w:sz w:val="24"/>
          <w:szCs w:val="24"/>
        </w:rPr>
        <w:t xml:space="preserve">to 1 </w:t>
      </w:r>
      <w:r>
        <w:rPr>
          <w:sz w:val="24"/>
          <w:szCs w:val="24"/>
        </w:rPr>
        <w:t xml:space="preserve">in June 2008 the </w:t>
      </w:r>
      <w:r w:rsidR="00944AA5">
        <w:rPr>
          <w:sz w:val="24"/>
          <w:szCs w:val="24"/>
        </w:rPr>
        <w:t>three curves in the figure highlight the differences between the cumulative rates of increase of each of those stocks since that date</w:t>
      </w:r>
      <w:r w:rsidR="006C2CC0">
        <w:rPr>
          <w:sz w:val="24"/>
          <w:szCs w:val="24"/>
        </w:rPr>
        <w:t xml:space="preserve"> (note that, since the scale is </w:t>
      </w:r>
      <w:proofErr w:type="gramStart"/>
      <w:r w:rsidR="00944AA5">
        <w:rPr>
          <w:sz w:val="24"/>
          <w:szCs w:val="24"/>
        </w:rPr>
        <w:t>logarithmic  the</w:t>
      </w:r>
      <w:proofErr w:type="gramEnd"/>
      <w:r w:rsidR="00944AA5">
        <w:rPr>
          <w:sz w:val="24"/>
          <w:szCs w:val="24"/>
        </w:rPr>
        <w:t xml:space="preserve"> slope of a curve at each date shows the rate of growth of the stock at that date). </w:t>
      </w:r>
      <w:r w:rsidR="0070574E">
        <w:rPr>
          <w:sz w:val="24"/>
          <w:szCs w:val="24"/>
        </w:rPr>
        <w:t xml:space="preserve"> </w:t>
      </w:r>
      <w:r w:rsidR="00336D44">
        <w:rPr>
          <w:sz w:val="24"/>
          <w:szCs w:val="24"/>
        </w:rPr>
        <w:t xml:space="preserve">The figure dramatizes the fact that, since </w:t>
      </w:r>
      <w:proofErr w:type="spellStart"/>
      <w:r w:rsidR="00336D44">
        <w:rPr>
          <w:sz w:val="24"/>
          <w:szCs w:val="24"/>
        </w:rPr>
        <w:t>mid 2008</w:t>
      </w:r>
      <w:proofErr w:type="spellEnd"/>
      <w:r w:rsidR="00336D44">
        <w:rPr>
          <w:sz w:val="24"/>
          <w:szCs w:val="24"/>
        </w:rPr>
        <w:t xml:space="preserve"> H expanded much more than either M1 or M2.</w:t>
      </w:r>
      <w:r w:rsidR="00001994">
        <w:rPr>
          <w:sz w:val="24"/>
          <w:szCs w:val="24"/>
        </w:rPr>
        <w:t xml:space="preserve"> Interestingly,</w:t>
      </w:r>
      <w:r w:rsidR="00336D44">
        <w:rPr>
          <w:sz w:val="24"/>
          <w:szCs w:val="24"/>
        </w:rPr>
        <w:t xml:space="preserve"> M1 whose main function is to facilitate </w:t>
      </w:r>
      <w:proofErr w:type="gramStart"/>
      <w:r w:rsidR="00336D44">
        <w:rPr>
          <w:sz w:val="24"/>
          <w:szCs w:val="24"/>
        </w:rPr>
        <w:t>transactions</w:t>
      </w:r>
      <w:r w:rsidR="00001994">
        <w:rPr>
          <w:sz w:val="24"/>
          <w:szCs w:val="24"/>
        </w:rPr>
        <w:t>,</w:t>
      </w:r>
      <w:proofErr w:type="gramEnd"/>
      <w:r w:rsidR="00001994">
        <w:rPr>
          <w:sz w:val="24"/>
          <w:szCs w:val="24"/>
        </w:rPr>
        <w:t xml:space="preserve"> </w:t>
      </w:r>
      <w:r w:rsidR="00336D44">
        <w:rPr>
          <w:sz w:val="24"/>
          <w:szCs w:val="24"/>
        </w:rPr>
        <w:t xml:space="preserve">grew more than </w:t>
      </w:r>
      <w:r w:rsidR="00001994">
        <w:rPr>
          <w:sz w:val="24"/>
          <w:szCs w:val="24"/>
        </w:rPr>
        <w:t>M2. T</w:t>
      </w:r>
      <w:r w:rsidR="00237B1B">
        <w:rPr>
          <w:sz w:val="24"/>
          <w:szCs w:val="24"/>
        </w:rPr>
        <w:t xml:space="preserve">he relatively </w:t>
      </w:r>
      <w:r w:rsidR="00001994">
        <w:rPr>
          <w:sz w:val="24"/>
          <w:szCs w:val="24"/>
        </w:rPr>
        <w:t xml:space="preserve">slow growth of the latter </w:t>
      </w:r>
      <w:r w:rsidR="00237B1B">
        <w:rPr>
          <w:sz w:val="24"/>
          <w:szCs w:val="24"/>
        </w:rPr>
        <w:t xml:space="preserve">in comparison to narrow money reflects the public’s substitution away from interest bearing asset into M1 due to </w:t>
      </w:r>
      <w:r w:rsidR="00001994">
        <w:rPr>
          <w:sz w:val="24"/>
          <w:szCs w:val="24"/>
        </w:rPr>
        <w:t xml:space="preserve">the very low level of short term interest rates since the end of 2008. </w:t>
      </w:r>
    </w:p>
    <w:p w:rsidR="006F25C8" w:rsidRDefault="0027528E" w:rsidP="006C2CC0">
      <w:pPr>
        <w:pStyle w:val="FootnoteText"/>
        <w:spacing w:line="360" w:lineRule="auto"/>
        <w:jc w:val="both"/>
        <w:rPr>
          <w:sz w:val="24"/>
          <w:szCs w:val="24"/>
        </w:rPr>
      </w:pPr>
      <w:r>
        <w:rPr>
          <w:sz w:val="24"/>
          <w:szCs w:val="24"/>
        </w:rPr>
        <w:tab/>
        <w:t xml:space="preserve">The period since the downfall of Lehman is obviously very special. It is therefore useful to compare the relative behavior of the monetary base, M1 and M2 to their </w:t>
      </w:r>
      <w:r>
        <w:rPr>
          <w:sz w:val="24"/>
          <w:szCs w:val="24"/>
        </w:rPr>
        <w:lastRenderedPageBreak/>
        <w:t>behavior during normal times. To provide such a benchmark Fig</w:t>
      </w:r>
      <w:r w:rsidR="00C01C32">
        <w:rPr>
          <w:sz w:val="24"/>
          <w:szCs w:val="24"/>
        </w:rPr>
        <w:t>ure 10 replicates Figure 9</w:t>
      </w:r>
      <w:r>
        <w:rPr>
          <w:sz w:val="24"/>
          <w:szCs w:val="24"/>
        </w:rPr>
        <w:t xml:space="preserve"> in the pre-Lehman collapse era (between December 1999 and June 2008).  The first obvious (and previously documented) difference between their behavior before and after the Lehman event is that, in the second period,  the monetary base expanded at much higher rates than during normal times. But the most striking observation is that, in spite of the huge difference in the rate of growth of the base, between the two periods, the rates of growth of M1 and M2 are not too different across the two periods This observation goes a long way to explain the tameness of inflation in the face of highly e</w:t>
      </w:r>
      <w:r w:rsidR="00E560D3">
        <w:rPr>
          <w:sz w:val="24"/>
          <w:szCs w:val="24"/>
        </w:rPr>
        <w:t xml:space="preserve">xpansionary monetary policies. </w:t>
      </w:r>
      <w:r>
        <w:rPr>
          <w:sz w:val="24"/>
          <w:szCs w:val="24"/>
        </w:rPr>
        <w:t xml:space="preserve">Also during the normal period M2 expanded more than either the monetary base and narrow money and the latter expanded at the smallest rate. This ranking reflects the higher levels of confidence in the financial system and the higher interest rates that prevailed in the benchmark normal period.   </w:t>
      </w:r>
    </w:p>
    <w:p w:rsidR="00AE4F9C" w:rsidRPr="0027528E" w:rsidRDefault="00951B7D" w:rsidP="0027528E">
      <w:pPr>
        <w:rPr>
          <w:rFonts w:ascii="Times New Roman" w:eastAsia="Times New Roman" w:hAnsi="Times New Roman" w:cs="Times New Roman"/>
          <w:sz w:val="24"/>
          <w:szCs w:val="24"/>
        </w:rPr>
      </w:pPr>
      <w:r w:rsidRPr="00613452">
        <w:rPr>
          <w:sz w:val="24"/>
          <w:szCs w:val="24"/>
        </w:rPr>
        <w:object w:dxaOrig="7106" w:dyaOrig="5329">
          <v:shape id="_x0000_i1027" type="#_x0000_t75" style="width:403.8pt;height:300.6pt" o:ole="">
            <v:imagedata r:id="rId22" o:title=""/>
          </v:shape>
          <o:OLEObject Type="Embed" ProgID="PowerPoint.Slide.12" ShapeID="_x0000_i1027" DrawAspect="Content" ObjectID="_1508435277" r:id="rId23"/>
        </w:object>
      </w:r>
      <w:r w:rsidR="00774D4A">
        <w:rPr>
          <w:sz w:val="24"/>
          <w:szCs w:val="24"/>
        </w:rPr>
        <w:t xml:space="preserve"> </w:t>
      </w:r>
    </w:p>
    <w:p w:rsidR="009B27A6" w:rsidRDefault="00951B7D" w:rsidP="00464A94">
      <w:pPr>
        <w:pStyle w:val="FootnoteText"/>
        <w:spacing w:line="360" w:lineRule="auto"/>
        <w:rPr>
          <w:sz w:val="24"/>
          <w:szCs w:val="24"/>
        </w:rPr>
      </w:pPr>
      <w:r w:rsidRPr="00613452">
        <w:rPr>
          <w:sz w:val="24"/>
          <w:szCs w:val="24"/>
        </w:rPr>
        <w:object w:dxaOrig="6292" w:dyaOrig="4717">
          <v:shape id="_x0000_i1028" type="#_x0000_t75" style="width:396pt;height:274.8pt" o:ole="">
            <v:imagedata r:id="rId24" o:title=""/>
          </v:shape>
          <o:OLEObject Type="Embed" ProgID="PowerPoint.Slide.12" ShapeID="_x0000_i1028" DrawAspect="Content" ObjectID="_1508435278" r:id="rId25"/>
        </w:object>
      </w:r>
    </w:p>
    <w:p w:rsidR="00C01C32" w:rsidRDefault="00C01C32" w:rsidP="00464A94">
      <w:pPr>
        <w:pStyle w:val="FootnoteText"/>
        <w:spacing w:line="360" w:lineRule="auto"/>
        <w:rPr>
          <w:sz w:val="24"/>
          <w:szCs w:val="24"/>
        </w:rPr>
      </w:pPr>
    </w:p>
    <w:p w:rsidR="00E2270B" w:rsidRDefault="00013BB6" w:rsidP="004F71B7">
      <w:pPr>
        <w:pStyle w:val="FootnoteText"/>
        <w:numPr>
          <w:ilvl w:val="0"/>
          <w:numId w:val="9"/>
        </w:numPr>
        <w:spacing w:line="360" w:lineRule="auto"/>
        <w:rPr>
          <w:b/>
          <w:bCs/>
          <w:sz w:val="28"/>
          <w:szCs w:val="28"/>
        </w:rPr>
      </w:pPr>
      <w:r>
        <w:rPr>
          <w:b/>
          <w:bCs/>
          <w:sz w:val="28"/>
          <w:szCs w:val="28"/>
        </w:rPr>
        <w:t xml:space="preserve">A comparison of monetary expansion </w:t>
      </w:r>
      <w:r w:rsidR="00E2270B">
        <w:rPr>
          <w:b/>
          <w:bCs/>
          <w:sz w:val="28"/>
          <w:szCs w:val="28"/>
        </w:rPr>
        <w:t xml:space="preserve">and inflation since Lehman collapse with monetary expansion and inflation during the German hyperinflation of the nineteen-twenties </w:t>
      </w:r>
    </w:p>
    <w:p w:rsidR="005C08D9" w:rsidRDefault="00E2270B" w:rsidP="006C2CC0">
      <w:pPr>
        <w:pStyle w:val="FootnoteText"/>
        <w:spacing w:line="360" w:lineRule="auto"/>
        <w:jc w:val="both"/>
        <w:rPr>
          <w:sz w:val="24"/>
          <w:szCs w:val="24"/>
        </w:rPr>
      </w:pPr>
      <w:r>
        <w:rPr>
          <w:sz w:val="24"/>
          <w:szCs w:val="24"/>
        </w:rPr>
        <w:tab/>
        <w:t xml:space="preserve">The </w:t>
      </w:r>
      <w:proofErr w:type="spellStart"/>
      <w:r>
        <w:rPr>
          <w:sz w:val="24"/>
          <w:szCs w:val="24"/>
        </w:rPr>
        <w:t>well known</w:t>
      </w:r>
      <w:proofErr w:type="spellEnd"/>
      <w:r>
        <w:rPr>
          <w:sz w:val="24"/>
          <w:szCs w:val="24"/>
        </w:rPr>
        <w:t xml:space="preserve"> German post WWI </w:t>
      </w:r>
      <w:r w:rsidR="00E639AE">
        <w:rPr>
          <w:sz w:val="24"/>
          <w:szCs w:val="24"/>
        </w:rPr>
        <w:t>hyper</w:t>
      </w:r>
      <w:r>
        <w:rPr>
          <w:sz w:val="24"/>
          <w:szCs w:val="24"/>
        </w:rPr>
        <w:t>inflation between 1921 and 1923 provides one of the most dramatic pieces of evidence in support of Milton Friedman’</w:t>
      </w:r>
      <w:r w:rsidR="00CB5DA2">
        <w:rPr>
          <w:sz w:val="24"/>
          <w:szCs w:val="24"/>
        </w:rPr>
        <w:t>s famous dictum</w:t>
      </w:r>
      <w:r>
        <w:rPr>
          <w:sz w:val="24"/>
          <w:szCs w:val="24"/>
        </w:rPr>
        <w:t xml:space="preserve"> that inflation is always and everywhere a monetary phenomenon.</w:t>
      </w:r>
      <w:r w:rsidR="00960882">
        <w:rPr>
          <w:rStyle w:val="FootnoteReference"/>
          <w:sz w:val="24"/>
          <w:szCs w:val="24"/>
        </w:rPr>
        <w:footnoteReference w:id="10"/>
      </w:r>
      <w:r>
        <w:rPr>
          <w:sz w:val="24"/>
          <w:szCs w:val="24"/>
        </w:rPr>
        <w:t xml:space="preserve"> </w:t>
      </w:r>
      <w:r w:rsidR="005C08D9">
        <w:rPr>
          <w:sz w:val="24"/>
          <w:szCs w:val="24"/>
        </w:rPr>
        <w:t xml:space="preserve">As a matter of fact the cumulative rate of base money expansion in the US </w:t>
      </w:r>
      <w:r w:rsidR="00366249">
        <w:rPr>
          <w:sz w:val="24"/>
          <w:szCs w:val="24"/>
        </w:rPr>
        <w:t xml:space="preserve">between </w:t>
      </w:r>
      <w:r w:rsidR="005C08D9">
        <w:rPr>
          <w:sz w:val="24"/>
          <w:szCs w:val="24"/>
        </w:rPr>
        <w:t xml:space="preserve">Lehman’s collapse </w:t>
      </w:r>
      <w:r w:rsidR="00CF2B1A">
        <w:rPr>
          <w:sz w:val="24"/>
          <w:szCs w:val="24"/>
        </w:rPr>
        <w:t>and September 2014</w:t>
      </w:r>
      <w:r w:rsidR="00366249">
        <w:rPr>
          <w:sz w:val="24"/>
          <w:szCs w:val="24"/>
        </w:rPr>
        <w:t xml:space="preserve"> </w:t>
      </w:r>
      <w:r w:rsidR="005C08D9">
        <w:rPr>
          <w:sz w:val="24"/>
          <w:szCs w:val="24"/>
        </w:rPr>
        <w:t>is of the same order of magnitude as the cumulative rate of German</w:t>
      </w:r>
      <w:r w:rsidR="00CF2B1A">
        <w:rPr>
          <w:sz w:val="24"/>
          <w:szCs w:val="24"/>
        </w:rPr>
        <w:t xml:space="preserve"> base money expansion during a bit over</w:t>
      </w:r>
      <w:r w:rsidR="005C08D9">
        <w:rPr>
          <w:sz w:val="24"/>
          <w:szCs w:val="24"/>
        </w:rPr>
        <w:t xml:space="preserve"> </w:t>
      </w:r>
      <w:r w:rsidR="00CF2B1A">
        <w:rPr>
          <w:sz w:val="24"/>
          <w:szCs w:val="24"/>
        </w:rPr>
        <w:t xml:space="preserve">the </w:t>
      </w:r>
      <w:r w:rsidR="005C08D9">
        <w:rPr>
          <w:sz w:val="24"/>
          <w:szCs w:val="24"/>
        </w:rPr>
        <w:t xml:space="preserve">first half of the hyperinflation. </w:t>
      </w:r>
    </w:p>
    <w:p w:rsidR="00D429D9" w:rsidRDefault="005C08D9" w:rsidP="006C2CC0">
      <w:pPr>
        <w:pStyle w:val="FootnoteText"/>
        <w:spacing w:line="360" w:lineRule="auto"/>
        <w:jc w:val="both"/>
        <w:rPr>
          <w:sz w:val="24"/>
          <w:szCs w:val="24"/>
        </w:rPr>
      </w:pPr>
      <w:r>
        <w:rPr>
          <w:sz w:val="24"/>
          <w:szCs w:val="24"/>
        </w:rPr>
        <w:tab/>
      </w:r>
      <w:r w:rsidR="00CB5DA2">
        <w:rPr>
          <w:sz w:val="24"/>
          <w:szCs w:val="24"/>
        </w:rPr>
        <w:t xml:space="preserve">The thinking of policymakers and economists who worry that the exceptional </w:t>
      </w:r>
      <w:r w:rsidR="00D429D9">
        <w:rPr>
          <w:sz w:val="24"/>
          <w:szCs w:val="24"/>
        </w:rPr>
        <w:t>sequence of quantitative</w:t>
      </w:r>
      <w:r w:rsidR="00CB5DA2">
        <w:rPr>
          <w:sz w:val="24"/>
          <w:szCs w:val="24"/>
        </w:rPr>
        <w:t xml:space="preserve"> </w:t>
      </w:r>
      <w:r w:rsidR="00D429D9">
        <w:rPr>
          <w:sz w:val="24"/>
          <w:szCs w:val="24"/>
        </w:rPr>
        <w:t xml:space="preserve">easing operations </w:t>
      </w:r>
      <w:r w:rsidR="00CB5DA2">
        <w:rPr>
          <w:sz w:val="24"/>
          <w:szCs w:val="24"/>
        </w:rPr>
        <w:t xml:space="preserve">conducted by the Fed since Lehman’s collapse </w:t>
      </w:r>
      <w:r w:rsidR="00E639AE">
        <w:rPr>
          <w:sz w:val="24"/>
          <w:szCs w:val="24"/>
        </w:rPr>
        <w:t xml:space="preserve">will eventually spark the fires of inflation </w:t>
      </w:r>
      <w:r w:rsidR="00CB5DA2">
        <w:rPr>
          <w:sz w:val="24"/>
          <w:szCs w:val="24"/>
        </w:rPr>
        <w:t xml:space="preserve">goes back to the lessons learned from episodes such as the German hyperinflation. </w:t>
      </w:r>
      <w:r w:rsidR="00E639AE">
        <w:rPr>
          <w:sz w:val="24"/>
          <w:szCs w:val="24"/>
        </w:rPr>
        <w:t xml:space="preserve"> It is therefore instructive to compare and contrast the recent monetary expansions and inflationary experiences since the Lehman event in th</w:t>
      </w:r>
      <w:r>
        <w:rPr>
          <w:sz w:val="24"/>
          <w:szCs w:val="24"/>
        </w:rPr>
        <w:t xml:space="preserve">e </w:t>
      </w:r>
      <w:r>
        <w:rPr>
          <w:sz w:val="24"/>
          <w:szCs w:val="24"/>
        </w:rPr>
        <w:lastRenderedPageBreak/>
        <w:t>US and during the German hyperinflation, and</w:t>
      </w:r>
      <w:r w:rsidR="00D429D9">
        <w:rPr>
          <w:sz w:val="24"/>
          <w:szCs w:val="24"/>
        </w:rPr>
        <w:t xml:space="preserve"> identify the similarities </w:t>
      </w:r>
      <w:r w:rsidR="00E639AE">
        <w:rPr>
          <w:sz w:val="24"/>
          <w:szCs w:val="24"/>
        </w:rPr>
        <w:t xml:space="preserve">and differences between those two periods. </w:t>
      </w:r>
    </w:p>
    <w:p w:rsidR="003F6447" w:rsidRDefault="00777501" w:rsidP="006C2CC0">
      <w:pPr>
        <w:pStyle w:val="FootnoteText"/>
        <w:spacing w:line="360" w:lineRule="auto"/>
        <w:jc w:val="both"/>
        <w:rPr>
          <w:sz w:val="24"/>
          <w:szCs w:val="24"/>
        </w:rPr>
      </w:pPr>
      <w:r>
        <w:rPr>
          <w:sz w:val="24"/>
          <w:szCs w:val="24"/>
        </w:rPr>
        <w:tab/>
        <w:t>Figure 11</w:t>
      </w:r>
      <w:r w:rsidR="00D429D9">
        <w:rPr>
          <w:sz w:val="24"/>
          <w:szCs w:val="24"/>
        </w:rPr>
        <w:t xml:space="preserve"> displays the evolution of high powered money and inflation in the </w:t>
      </w:r>
      <w:r w:rsidR="00981295">
        <w:rPr>
          <w:sz w:val="24"/>
          <w:szCs w:val="24"/>
        </w:rPr>
        <w:t>US starting in September 2008</w:t>
      </w:r>
      <w:r w:rsidR="00D429D9">
        <w:rPr>
          <w:sz w:val="24"/>
          <w:szCs w:val="24"/>
        </w:rPr>
        <w:t xml:space="preserve"> </w:t>
      </w:r>
      <w:r w:rsidR="00CF2B1A">
        <w:rPr>
          <w:sz w:val="24"/>
          <w:szCs w:val="24"/>
        </w:rPr>
        <w:t>till September 2014</w:t>
      </w:r>
      <w:r w:rsidR="00981295">
        <w:rPr>
          <w:sz w:val="24"/>
          <w:szCs w:val="24"/>
        </w:rPr>
        <w:t xml:space="preserve"> and in German</w:t>
      </w:r>
      <w:r w:rsidR="00CF2B1A">
        <w:rPr>
          <w:sz w:val="24"/>
          <w:szCs w:val="24"/>
        </w:rPr>
        <w:t xml:space="preserve">y starting from December 1920. </w:t>
      </w:r>
      <w:r w:rsidR="00D429D9" w:rsidRPr="00D429D9">
        <w:rPr>
          <w:sz w:val="24"/>
          <w:szCs w:val="24"/>
        </w:rPr>
        <w:t xml:space="preserve">The values of the monetary bases and of the price levels in </w:t>
      </w:r>
      <w:r w:rsidR="00981295">
        <w:rPr>
          <w:sz w:val="24"/>
          <w:szCs w:val="24"/>
        </w:rPr>
        <w:t xml:space="preserve">both </w:t>
      </w:r>
      <w:r w:rsidR="0014405A">
        <w:rPr>
          <w:sz w:val="24"/>
          <w:szCs w:val="24"/>
        </w:rPr>
        <w:t>the US and Germany are</w:t>
      </w:r>
      <w:r w:rsidR="00D429D9" w:rsidRPr="00D429D9">
        <w:rPr>
          <w:sz w:val="24"/>
          <w:szCs w:val="24"/>
        </w:rPr>
        <w:t xml:space="preserve"> normalized to 100</w:t>
      </w:r>
      <w:r w:rsidR="00981295">
        <w:rPr>
          <w:sz w:val="24"/>
          <w:szCs w:val="24"/>
        </w:rPr>
        <w:t xml:space="preserve"> at the beginning of each of those</w:t>
      </w:r>
      <w:r w:rsidR="00D429D9" w:rsidRPr="00D429D9">
        <w:rPr>
          <w:sz w:val="24"/>
          <w:szCs w:val="24"/>
        </w:rPr>
        <w:t xml:space="preserve"> t</w:t>
      </w:r>
      <w:r w:rsidR="00981295">
        <w:rPr>
          <w:sz w:val="24"/>
          <w:szCs w:val="24"/>
        </w:rPr>
        <w:t>wo periods in orde</w:t>
      </w:r>
      <w:r>
        <w:rPr>
          <w:sz w:val="24"/>
          <w:szCs w:val="24"/>
        </w:rPr>
        <w:t>r to provide a common comparative</w:t>
      </w:r>
      <w:r w:rsidR="00981295">
        <w:rPr>
          <w:sz w:val="24"/>
          <w:szCs w:val="24"/>
        </w:rPr>
        <w:t xml:space="preserve"> scale for the two episodes.</w:t>
      </w:r>
      <w:r w:rsidR="003F6447" w:rsidRPr="003F6447">
        <w:rPr>
          <w:rStyle w:val="FootnoteReference"/>
          <w:sz w:val="24"/>
          <w:szCs w:val="24"/>
        </w:rPr>
        <w:t xml:space="preserve"> </w:t>
      </w:r>
      <w:r w:rsidR="003F6447">
        <w:rPr>
          <w:rStyle w:val="FootnoteReference"/>
          <w:sz w:val="24"/>
          <w:szCs w:val="24"/>
        </w:rPr>
        <w:footnoteReference w:id="11"/>
      </w:r>
      <w:r w:rsidR="003F6447">
        <w:rPr>
          <w:sz w:val="24"/>
          <w:szCs w:val="24"/>
        </w:rPr>
        <w:t xml:space="preserve"> </w:t>
      </w:r>
      <w:r w:rsidR="00981295">
        <w:rPr>
          <w:sz w:val="24"/>
          <w:szCs w:val="24"/>
        </w:rPr>
        <w:t>For the same reason  the initial period</w:t>
      </w:r>
      <w:r w:rsidR="003F6447">
        <w:rPr>
          <w:sz w:val="24"/>
          <w:szCs w:val="24"/>
        </w:rPr>
        <w:t xml:space="preserve">s of the two episodes </w:t>
      </w:r>
      <w:r w:rsidR="00981295">
        <w:rPr>
          <w:sz w:val="24"/>
          <w:szCs w:val="24"/>
        </w:rPr>
        <w:t xml:space="preserve">are located at the </w:t>
      </w:r>
      <w:r w:rsidR="005C08D9" w:rsidRPr="00CF2B1A">
        <w:rPr>
          <w:b/>
          <w:bCs/>
          <w:sz w:val="24"/>
          <w:szCs w:val="24"/>
        </w:rPr>
        <w:t>same</w:t>
      </w:r>
      <w:r w:rsidR="005C08D9">
        <w:rPr>
          <w:sz w:val="24"/>
          <w:szCs w:val="24"/>
        </w:rPr>
        <w:t xml:space="preserve"> </w:t>
      </w:r>
      <w:r w:rsidR="00981295">
        <w:rPr>
          <w:sz w:val="24"/>
          <w:szCs w:val="24"/>
        </w:rPr>
        <w:t>extreme left hand sides of the horizontal axis</w:t>
      </w:r>
      <w:r w:rsidR="005C08D9">
        <w:rPr>
          <w:sz w:val="24"/>
          <w:szCs w:val="24"/>
        </w:rPr>
        <w:t xml:space="preserve"> where the chronological dates for the US are displayed on the lower horizontal axis and those for Germany on the upper horizontal axis.</w:t>
      </w:r>
      <w:r w:rsidR="003F6447">
        <w:rPr>
          <w:sz w:val="24"/>
          <w:szCs w:val="24"/>
        </w:rPr>
        <w:t xml:space="preserve"> </w:t>
      </w:r>
    </w:p>
    <w:p w:rsidR="00BC022C" w:rsidRDefault="003F6447" w:rsidP="006C2CC0">
      <w:pPr>
        <w:pStyle w:val="FootnoteText"/>
        <w:spacing w:line="360" w:lineRule="auto"/>
        <w:jc w:val="both"/>
        <w:rPr>
          <w:sz w:val="24"/>
          <w:szCs w:val="24"/>
        </w:rPr>
      </w:pPr>
      <w:r>
        <w:rPr>
          <w:sz w:val="24"/>
          <w:szCs w:val="24"/>
        </w:rPr>
        <w:tab/>
        <w:t xml:space="preserve"> </w:t>
      </w:r>
      <w:r w:rsidR="00CF2B1A">
        <w:rPr>
          <w:sz w:val="24"/>
          <w:szCs w:val="24"/>
        </w:rPr>
        <w:t>Between September 2008 and</w:t>
      </w:r>
      <w:r>
        <w:rPr>
          <w:sz w:val="24"/>
          <w:szCs w:val="24"/>
        </w:rPr>
        <w:t xml:space="preserve"> </w:t>
      </w:r>
      <w:r w:rsidR="00CF2B1A">
        <w:rPr>
          <w:sz w:val="24"/>
          <w:szCs w:val="24"/>
        </w:rPr>
        <w:t>September 2014</w:t>
      </w:r>
      <w:r w:rsidR="002E67BC">
        <w:rPr>
          <w:sz w:val="24"/>
          <w:szCs w:val="24"/>
        </w:rPr>
        <w:t xml:space="preserve"> base money in t</w:t>
      </w:r>
      <w:r w:rsidR="00CF2B1A">
        <w:rPr>
          <w:sz w:val="24"/>
          <w:szCs w:val="24"/>
        </w:rPr>
        <w:t>he US increased by a factor of 4.35 (435</w:t>
      </w:r>
      <w:r w:rsidR="002E67BC">
        <w:rPr>
          <w:sz w:val="24"/>
          <w:szCs w:val="24"/>
        </w:rPr>
        <w:t xml:space="preserve">%). In order to compare the inflationary consequences of the </w:t>
      </w:r>
      <w:r w:rsidR="002E67BC" w:rsidRPr="002E67BC">
        <w:rPr>
          <w:b/>
          <w:bCs/>
          <w:sz w:val="24"/>
          <w:szCs w:val="24"/>
        </w:rPr>
        <w:t xml:space="preserve">same </w:t>
      </w:r>
      <w:r w:rsidR="002E67BC">
        <w:rPr>
          <w:sz w:val="24"/>
          <w:szCs w:val="24"/>
        </w:rPr>
        <w:t>monetary expansion in today’s US with those of the German hyperinflation 90 years ago the German data is truncated when the cumulative rate of base money expansion equals that of the US b</w:t>
      </w:r>
      <w:r w:rsidR="00CF2B1A">
        <w:rPr>
          <w:sz w:val="24"/>
          <w:szCs w:val="24"/>
        </w:rPr>
        <w:t>etween September 2008 and September 2014. This occurs in September</w:t>
      </w:r>
      <w:r w:rsidR="00636538">
        <w:rPr>
          <w:sz w:val="24"/>
          <w:szCs w:val="24"/>
        </w:rPr>
        <w:t xml:space="preserve"> 1922 whi</w:t>
      </w:r>
      <w:r w:rsidR="00CF2B1A">
        <w:rPr>
          <w:sz w:val="24"/>
          <w:szCs w:val="24"/>
        </w:rPr>
        <w:t>ch is about 15</w:t>
      </w:r>
      <w:r w:rsidR="00636538">
        <w:rPr>
          <w:sz w:val="24"/>
          <w:szCs w:val="24"/>
        </w:rPr>
        <w:t xml:space="preserve"> months prior to the end of the hyperinflation. </w:t>
      </w:r>
      <w:r w:rsidR="00CC0B8C">
        <w:rPr>
          <w:sz w:val="24"/>
          <w:szCs w:val="24"/>
        </w:rPr>
        <w:t>The figure essentially replaces chron</w:t>
      </w:r>
      <w:r w:rsidR="00BC022C">
        <w:rPr>
          <w:sz w:val="24"/>
          <w:szCs w:val="24"/>
        </w:rPr>
        <w:t xml:space="preserve">ological time with time units anchored </w:t>
      </w:r>
      <w:r w:rsidR="00CF2B1A">
        <w:rPr>
          <w:sz w:val="24"/>
          <w:szCs w:val="24"/>
        </w:rPr>
        <w:t>on</w:t>
      </w:r>
      <w:r w:rsidR="00BC022C">
        <w:rPr>
          <w:sz w:val="24"/>
          <w:szCs w:val="24"/>
        </w:rPr>
        <w:t xml:space="preserve"> </w:t>
      </w:r>
      <w:r w:rsidR="00777501">
        <w:rPr>
          <w:sz w:val="24"/>
          <w:szCs w:val="24"/>
        </w:rPr>
        <w:t>identical rates of base money</w:t>
      </w:r>
      <w:r w:rsidR="00CC0B8C">
        <w:rPr>
          <w:sz w:val="24"/>
          <w:szCs w:val="24"/>
        </w:rPr>
        <w:t xml:space="preserve"> expansion. </w:t>
      </w:r>
    </w:p>
    <w:p w:rsidR="00874B40" w:rsidRDefault="00BC022C" w:rsidP="006C2CC0">
      <w:pPr>
        <w:pStyle w:val="FootnoteText"/>
        <w:spacing w:line="360" w:lineRule="auto"/>
        <w:jc w:val="both"/>
        <w:rPr>
          <w:sz w:val="24"/>
          <w:szCs w:val="24"/>
        </w:rPr>
      </w:pPr>
      <w:r>
        <w:rPr>
          <w:sz w:val="24"/>
          <w:szCs w:val="24"/>
        </w:rPr>
        <w:tab/>
      </w:r>
      <w:r w:rsidR="002E67BC">
        <w:rPr>
          <w:sz w:val="24"/>
          <w:szCs w:val="24"/>
        </w:rPr>
        <w:t>Th</w:t>
      </w:r>
      <w:r w:rsidR="00366249">
        <w:rPr>
          <w:sz w:val="24"/>
          <w:szCs w:val="24"/>
        </w:rPr>
        <w:t xml:space="preserve">e blue and red </w:t>
      </w:r>
      <w:r w:rsidR="00777501">
        <w:rPr>
          <w:sz w:val="24"/>
          <w:szCs w:val="24"/>
        </w:rPr>
        <w:t>lines in Figure 11</w:t>
      </w:r>
      <w:r w:rsidR="002E67BC">
        <w:rPr>
          <w:sz w:val="24"/>
          <w:szCs w:val="24"/>
        </w:rPr>
        <w:t xml:space="preserve"> refer to the US</w:t>
      </w:r>
      <w:r w:rsidR="00636538">
        <w:rPr>
          <w:sz w:val="24"/>
          <w:szCs w:val="24"/>
        </w:rPr>
        <w:t xml:space="preserve"> and Germany respectively. The solid lines stand for the evolutions of the base money stocks and the dashed lines for the evolution of the price levels all in comparison to their respective base periods. Consequently </w:t>
      </w:r>
      <w:r w:rsidR="002E67BC">
        <w:rPr>
          <w:sz w:val="24"/>
          <w:szCs w:val="24"/>
        </w:rPr>
        <w:t>a point on any of the curves</w:t>
      </w:r>
      <w:r w:rsidR="00636538">
        <w:rPr>
          <w:sz w:val="24"/>
          <w:szCs w:val="24"/>
        </w:rPr>
        <w:t xml:space="preserve"> shows by how much high powere</w:t>
      </w:r>
      <w:r w:rsidR="00366249">
        <w:rPr>
          <w:sz w:val="24"/>
          <w:szCs w:val="24"/>
        </w:rPr>
        <w:t>d money or the price</w:t>
      </w:r>
      <w:r w:rsidR="00636538">
        <w:rPr>
          <w:sz w:val="24"/>
          <w:szCs w:val="24"/>
        </w:rPr>
        <w:t xml:space="preserve"> </w:t>
      </w:r>
      <w:r w:rsidR="00366249">
        <w:rPr>
          <w:sz w:val="24"/>
          <w:szCs w:val="24"/>
        </w:rPr>
        <w:t>leve</w:t>
      </w:r>
      <w:r w:rsidR="00CF2B1A">
        <w:rPr>
          <w:sz w:val="24"/>
          <w:szCs w:val="24"/>
        </w:rPr>
        <w:t>l</w:t>
      </w:r>
      <w:r w:rsidR="00366249">
        <w:rPr>
          <w:sz w:val="24"/>
          <w:szCs w:val="24"/>
        </w:rPr>
        <w:t xml:space="preserve"> </w:t>
      </w:r>
      <w:r w:rsidR="00636538">
        <w:rPr>
          <w:sz w:val="24"/>
          <w:szCs w:val="24"/>
        </w:rPr>
        <w:t>have increased in comparison to their common base period.</w:t>
      </w:r>
      <w:r w:rsidR="00777501">
        <w:rPr>
          <w:sz w:val="24"/>
          <w:szCs w:val="24"/>
        </w:rPr>
        <w:t xml:space="preserve"> Figure 12 is a replication of Figure 11</w:t>
      </w:r>
      <w:r w:rsidR="00664EA8">
        <w:rPr>
          <w:sz w:val="24"/>
          <w:szCs w:val="24"/>
        </w:rPr>
        <w:t xml:space="preserve"> for the logarithms of the four indices.</w:t>
      </w:r>
      <w:r w:rsidR="00664EA8">
        <w:rPr>
          <w:rStyle w:val="FootnoteReference"/>
          <w:sz w:val="24"/>
          <w:szCs w:val="24"/>
        </w:rPr>
        <w:footnoteReference w:id="12"/>
      </w:r>
      <w:r w:rsidR="00664EA8">
        <w:rPr>
          <w:sz w:val="24"/>
          <w:szCs w:val="24"/>
        </w:rPr>
        <w:t xml:space="preserve"> </w:t>
      </w:r>
      <w:r>
        <w:rPr>
          <w:sz w:val="24"/>
          <w:szCs w:val="24"/>
        </w:rPr>
        <w:t xml:space="preserve">The advantage of the logarithmic scale is that it makes it possible to better visualize small differences between the curves without loss of the entire perspective.   </w:t>
      </w:r>
    </w:p>
    <w:p w:rsidR="008759A0" w:rsidRDefault="008759A0" w:rsidP="004631EB">
      <w:pPr>
        <w:pStyle w:val="FootnoteText"/>
        <w:spacing w:line="360" w:lineRule="auto"/>
        <w:jc w:val="both"/>
        <w:rPr>
          <w:sz w:val="24"/>
          <w:szCs w:val="24"/>
        </w:rPr>
      </w:pPr>
      <w:r>
        <w:rPr>
          <w:sz w:val="24"/>
          <w:szCs w:val="24"/>
        </w:rPr>
        <w:lastRenderedPageBreak/>
        <w:tab/>
        <w:t xml:space="preserve">For Germany the figures show that, following a period of about seven months during which the price level increased less than high powered money, there was a persistent acceleration of inflation much beyond the rate of base money expansion. As a consequence </w:t>
      </w:r>
      <w:r w:rsidR="00CF2B1A">
        <w:rPr>
          <w:sz w:val="24"/>
          <w:szCs w:val="24"/>
        </w:rPr>
        <w:t>the German price level in September</w:t>
      </w:r>
      <w:r>
        <w:rPr>
          <w:sz w:val="24"/>
          <w:szCs w:val="24"/>
        </w:rPr>
        <w:t xml:space="preserve"> 1922 </w:t>
      </w:r>
      <w:r w:rsidR="004631EB">
        <w:rPr>
          <w:sz w:val="24"/>
          <w:szCs w:val="24"/>
        </w:rPr>
        <w:t>was 24</w:t>
      </w:r>
      <w:r>
        <w:rPr>
          <w:sz w:val="24"/>
          <w:szCs w:val="24"/>
        </w:rPr>
        <w:t xml:space="preserve"> times higher than in December 1920. </w:t>
      </w:r>
      <w:proofErr w:type="gramStart"/>
      <w:r>
        <w:rPr>
          <w:sz w:val="24"/>
          <w:szCs w:val="24"/>
        </w:rPr>
        <w:t xml:space="preserve">During the same period base money increased </w:t>
      </w:r>
      <w:r w:rsidR="00EA039F">
        <w:rPr>
          <w:sz w:val="24"/>
          <w:szCs w:val="24"/>
        </w:rPr>
        <w:t xml:space="preserve">only </w:t>
      </w:r>
      <w:r w:rsidR="004631EB">
        <w:rPr>
          <w:sz w:val="24"/>
          <w:szCs w:val="24"/>
        </w:rPr>
        <w:t>by a factor of 4.35</w:t>
      </w:r>
      <w:r w:rsidR="00EA039F">
        <w:rPr>
          <w:sz w:val="24"/>
          <w:szCs w:val="24"/>
        </w:rPr>
        <w:t>.</w:t>
      </w:r>
      <w:proofErr w:type="gramEnd"/>
      <w:r w:rsidR="00EA039F">
        <w:rPr>
          <w:sz w:val="24"/>
          <w:szCs w:val="24"/>
        </w:rPr>
        <w:t xml:space="preserve"> By contrast, </w:t>
      </w:r>
      <w:r>
        <w:rPr>
          <w:sz w:val="24"/>
          <w:szCs w:val="24"/>
        </w:rPr>
        <w:t>in the US the cumulative rate of increase in the price level is</w:t>
      </w:r>
      <w:r w:rsidR="00EA039F">
        <w:rPr>
          <w:sz w:val="24"/>
          <w:szCs w:val="24"/>
        </w:rPr>
        <w:t xml:space="preserve"> </w:t>
      </w:r>
      <w:r>
        <w:rPr>
          <w:sz w:val="24"/>
          <w:szCs w:val="24"/>
        </w:rPr>
        <w:t>much lower than the cumulative rate of base expansion. The cumulative CPI increase between L</w:t>
      </w:r>
      <w:r w:rsidR="004631EB">
        <w:rPr>
          <w:sz w:val="24"/>
          <w:szCs w:val="24"/>
        </w:rPr>
        <w:t>ehman’s collapse and September 2014 is 12</w:t>
      </w:r>
      <w:r>
        <w:rPr>
          <w:sz w:val="24"/>
          <w:szCs w:val="24"/>
        </w:rPr>
        <w:t>.4%</w:t>
      </w:r>
      <w:r w:rsidR="004631EB">
        <w:rPr>
          <w:sz w:val="24"/>
          <w:szCs w:val="24"/>
        </w:rPr>
        <w:t xml:space="preserve">. This is obviously </w:t>
      </w:r>
      <w:r>
        <w:rPr>
          <w:sz w:val="24"/>
          <w:szCs w:val="24"/>
        </w:rPr>
        <w:t>m</w:t>
      </w:r>
      <w:r w:rsidR="004631EB">
        <w:rPr>
          <w:sz w:val="24"/>
          <w:szCs w:val="24"/>
        </w:rPr>
        <w:t>iniscule in comparison to the 435</w:t>
      </w:r>
      <w:r>
        <w:rPr>
          <w:sz w:val="24"/>
          <w:szCs w:val="24"/>
        </w:rPr>
        <w:t>% increase in the monetary base.</w:t>
      </w:r>
    </w:p>
    <w:p w:rsidR="008759A0" w:rsidRDefault="008759A0" w:rsidP="00CC0B8C">
      <w:pPr>
        <w:pStyle w:val="FootnoteText"/>
        <w:spacing w:line="360" w:lineRule="auto"/>
        <w:rPr>
          <w:sz w:val="24"/>
          <w:szCs w:val="24"/>
        </w:rPr>
      </w:pPr>
    </w:p>
    <w:p w:rsidR="00AE4F9C" w:rsidRDefault="00AE4F9C" w:rsidP="0008124F">
      <w:pPr>
        <w:pStyle w:val="FootnoteText"/>
        <w:spacing w:line="360" w:lineRule="auto"/>
        <w:rPr>
          <w:sz w:val="24"/>
          <w:szCs w:val="24"/>
        </w:rPr>
      </w:pPr>
    </w:p>
    <w:p w:rsidR="00777501" w:rsidRDefault="00777501" w:rsidP="0008124F">
      <w:pPr>
        <w:pStyle w:val="FootnoteText"/>
        <w:spacing w:line="360" w:lineRule="auto"/>
        <w:rPr>
          <w:sz w:val="24"/>
          <w:szCs w:val="24"/>
        </w:rPr>
      </w:pPr>
    </w:p>
    <w:p w:rsidR="00AE4F9C" w:rsidRDefault="00A7384F" w:rsidP="00C006AA">
      <w:pPr>
        <w:rPr>
          <w:rFonts w:ascii="Times New Roman" w:eastAsia="Times New Roman" w:hAnsi="Times New Roman" w:cs="Times New Roman"/>
          <w:sz w:val="24"/>
          <w:szCs w:val="24"/>
        </w:rPr>
      </w:pPr>
      <w:r>
        <w:rPr>
          <w:noProof/>
          <w:sz w:val="24"/>
          <w:szCs w:val="24"/>
        </w:rPr>
        <w:drawing>
          <wp:inline distT="0" distB="0" distL="0" distR="0">
            <wp:extent cx="5486400" cy="41586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486400" cy="4158615"/>
                    </a:xfrm>
                    <a:prstGeom prst="rect">
                      <a:avLst/>
                    </a:prstGeom>
                    <a:noFill/>
                    <a:ln w="9525">
                      <a:noFill/>
                      <a:miter lim="800000"/>
                      <a:headEnd/>
                      <a:tailEnd/>
                    </a:ln>
                  </pic:spPr>
                </pic:pic>
              </a:graphicData>
            </a:graphic>
          </wp:inline>
        </w:drawing>
      </w:r>
    </w:p>
    <w:p w:rsidR="00DE3E9B" w:rsidRDefault="00C006AA" w:rsidP="00F546B5">
      <w:pPr>
        <w:pStyle w:val="FootnoteText"/>
        <w:tabs>
          <w:tab w:val="right" w:pos="8364"/>
        </w:tabs>
        <w:spacing w:line="360" w:lineRule="auto"/>
        <w:rPr>
          <w:sz w:val="24"/>
          <w:szCs w:val="24"/>
        </w:rPr>
      </w:pPr>
      <w:r>
        <w:rPr>
          <w:noProof/>
          <w:sz w:val="24"/>
          <w:szCs w:val="24"/>
        </w:rPr>
        <w:lastRenderedPageBreak/>
        <w:drawing>
          <wp:inline distT="0" distB="0" distL="0" distR="0">
            <wp:extent cx="4966418" cy="3699522"/>
            <wp:effectExtent l="19050" t="0" r="5632"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a:stretch>
                      <a:fillRect/>
                    </a:stretch>
                  </pic:blipFill>
                  <pic:spPr bwMode="auto">
                    <a:xfrm>
                      <a:off x="0" y="0"/>
                      <a:ext cx="4969269" cy="3701646"/>
                    </a:xfrm>
                    <a:prstGeom prst="rect">
                      <a:avLst/>
                    </a:prstGeom>
                    <a:noFill/>
                    <a:ln w="9525">
                      <a:noFill/>
                      <a:miter lim="800000"/>
                      <a:headEnd/>
                      <a:tailEnd/>
                    </a:ln>
                  </pic:spPr>
                </pic:pic>
              </a:graphicData>
            </a:graphic>
          </wp:inline>
        </w:drawing>
      </w:r>
      <w:r w:rsidR="00636538">
        <w:rPr>
          <w:sz w:val="24"/>
          <w:szCs w:val="24"/>
        </w:rPr>
        <w:tab/>
      </w:r>
    </w:p>
    <w:p w:rsidR="00777501" w:rsidRDefault="00777501" w:rsidP="00F546B5">
      <w:pPr>
        <w:pStyle w:val="FootnoteText"/>
        <w:tabs>
          <w:tab w:val="right" w:pos="8364"/>
        </w:tabs>
        <w:spacing w:line="360" w:lineRule="auto"/>
        <w:rPr>
          <w:sz w:val="24"/>
          <w:szCs w:val="24"/>
        </w:rPr>
      </w:pPr>
    </w:p>
    <w:p w:rsidR="00DE3E9B" w:rsidRPr="00DE3E9B" w:rsidRDefault="004101DB" w:rsidP="004F71B7">
      <w:pPr>
        <w:pStyle w:val="FootnoteText"/>
        <w:numPr>
          <w:ilvl w:val="0"/>
          <w:numId w:val="9"/>
        </w:numPr>
        <w:spacing w:line="360" w:lineRule="auto"/>
        <w:rPr>
          <w:b/>
          <w:bCs/>
          <w:sz w:val="28"/>
          <w:szCs w:val="28"/>
        </w:rPr>
      </w:pPr>
      <w:r>
        <w:rPr>
          <w:b/>
          <w:bCs/>
          <w:sz w:val="28"/>
          <w:szCs w:val="28"/>
        </w:rPr>
        <w:t>Why are</w:t>
      </w:r>
      <w:r w:rsidR="00DE3E9B">
        <w:rPr>
          <w:b/>
          <w:bCs/>
          <w:sz w:val="28"/>
          <w:szCs w:val="28"/>
        </w:rPr>
        <w:t xml:space="preserve"> the response</w:t>
      </w:r>
      <w:r>
        <w:rPr>
          <w:b/>
          <w:bCs/>
          <w:sz w:val="28"/>
          <w:szCs w:val="28"/>
        </w:rPr>
        <w:t xml:space="preserve">s of inflation </w:t>
      </w:r>
      <w:r w:rsidR="00DE3E9B">
        <w:rPr>
          <w:b/>
          <w:bCs/>
          <w:sz w:val="28"/>
          <w:szCs w:val="28"/>
        </w:rPr>
        <w:t xml:space="preserve">to </w:t>
      </w:r>
      <w:r>
        <w:rPr>
          <w:b/>
          <w:bCs/>
          <w:sz w:val="28"/>
          <w:szCs w:val="28"/>
        </w:rPr>
        <w:t xml:space="preserve">identical </w:t>
      </w:r>
      <w:r w:rsidR="00DE3E9B">
        <w:rPr>
          <w:b/>
          <w:bCs/>
          <w:sz w:val="28"/>
          <w:szCs w:val="28"/>
        </w:rPr>
        <w:t>mon</w:t>
      </w:r>
      <w:r w:rsidR="00C006AA">
        <w:rPr>
          <w:b/>
          <w:bCs/>
          <w:sz w:val="28"/>
          <w:szCs w:val="28"/>
        </w:rPr>
        <w:t xml:space="preserve">etary </w:t>
      </w:r>
      <w:r>
        <w:rPr>
          <w:b/>
          <w:bCs/>
          <w:sz w:val="28"/>
          <w:szCs w:val="28"/>
        </w:rPr>
        <w:t xml:space="preserve">expansions in Germany then </w:t>
      </w:r>
      <w:r w:rsidR="00DE3E9B">
        <w:rPr>
          <w:b/>
          <w:bCs/>
          <w:sz w:val="28"/>
          <w:szCs w:val="28"/>
        </w:rPr>
        <w:t>a</w:t>
      </w:r>
      <w:r w:rsidR="003A5506">
        <w:rPr>
          <w:b/>
          <w:bCs/>
          <w:sz w:val="28"/>
          <w:szCs w:val="28"/>
        </w:rPr>
        <w:t>nd in the US now</w:t>
      </w:r>
      <w:r w:rsidR="00DE3E9B">
        <w:rPr>
          <w:b/>
          <w:bCs/>
          <w:sz w:val="28"/>
          <w:szCs w:val="28"/>
        </w:rPr>
        <w:t xml:space="preserve"> so different</w:t>
      </w:r>
      <w:r w:rsidR="00390971">
        <w:rPr>
          <w:b/>
          <w:bCs/>
          <w:sz w:val="28"/>
          <w:szCs w:val="28"/>
        </w:rPr>
        <w:t>?</w:t>
      </w:r>
    </w:p>
    <w:p w:rsidR="00390971" w:rsidRDefault="00B130A3" w:rsidP="006C2CC0">
      <w:pPr>
        <w:pStyle w:val="FootnoteText"/>
        <w:spacing w:line="360" w:lineRule="auto"/>
        <w:jc w:val="both"/>
        <w:rPr>
          <w:sz w:val="24"/>
          <w:szCs w:val="24"/>
        </w:rPr>
      </w:pPr>
      <w:r>
        <w:rPr>
          <w:sz w:val="24"/>
          <w:szCs w:val="24"/>
        </w:rPr>
        <w:tab/>
      </w:r>
      <w:r w:rsidR="00DE3E9B">
        <w:rPr>
          <w:sz w:val="24"/>
          <w:szCs w:val="24"/>
        </w:rPr>
        <w:t>I trust that t</w:t>
      </w:r>
      <w:r>
        <w:rPr>
          <w:sz w:val="24"/>
          <w:szCs w:val="24"/>
        </w:rPr>
        <w:t>he dramatic differences between the</w:t>
      </w:r>
      <w:r w:rsidR="00DE3E9B">
        <w:rPr>
          <w:sz w:val="24"/>
          <w:szCs w:val="24"/>
        </w:rPr>
        <w:t xml:space="preserve"> response of inflation in post WWI Germany and the US today</w:t>
      </w:r>
      <w:r>
        <w:rPr>
          <w:sz w:val="24"/>
          <w:szCs w:val="24"/>
        </w:rPr>
        <w:t xml:space="preserve"> should</w:t>
      </w:r>
      <w:r w:rsidR="00D26F73">
        <w:rPr>
          <w:sz w:val="24"/>
          <w:szCs w:val="24"/>
        </w:rPr>
        <w:t xml:space="preserve"> </w:t>
      </w:r>
      <w:r w:rsidR="00DE3E9B">
        <w:rPr>
          <w:sz w:val="24"/>
          <w:szCs w:val="24"/>
        </w:rPr>
        <w:t xml:space="preserve">convince most </w:t>
      </w:r>
      <w:r>
        <w:rPr>
          <w:sz w:val="24"/>
          <w:szCs w:val="24"/>
        </w:rPr>
        <w:t>reader</w:t>
      </w:r>
      <w:r w:rsidR="00DE3E9B">
        <w:rPr>
          <w:sz w:val="24"/>
          <w:szCs w:val="24"/>
        </w:rPr>
        <w:t>s</w:t>
      </w:r>
      <w:r>
        <w:rPr>
          <w:sz w:val="24"/>
          <w:szCs w:val="24"/>
        </w:rPr>
        <w:t xml:space="preserve"> that the simple quantity theory of money does not suffice to understand the relation between money and prices. </w:t>
      </w:r>
      <w:r w:rsidR="00DE3E9B">
        <w:rPr>
          <w:sz w:val="24"/>
          <w:szCs w:val="24"/>
        </w:rPr>
        <w:t>There</w:t>
      </w:r>
      <w:r>
        <w:rPr>
          <w:sz w:val="24"/>
          <w:szCs w:val="24"/>
        </w:rPr>
        <w:t xml:space="preserve"> are other</w:t>
      </w:r>
      <w:r w:rsidR="00390971">
        <w:rPr>
          <w:sz w:val="24"/>
          <w:szCs w:val="24"/>
        </w:rPr>
        <w:t xml:space="preserve"> (</w:t>
      </w:r>
      <w:r w:rsidR="00DE3E9B">
        <w:rPr>
          <w:sz w:val="24"/>
          <w:szCs w:val="24"/>
        </w:rPr>
        <w:t>possibly no less important</w:t>
      </w:r>
      <w:r w:rsidR="00390971">
        <w:rPr>
          <w:sz w:val="24"/>
          <w:szCs w:val="24"/>
        </w:rPr>
        <w:t>)</w:t>
      </w:r>
      <w:r w:rsidR="00DE3E9B">
        <w:rPr>
          <w:sz w:val="24"/>
          <w:szCs w:val="24"/>
        </w:rPr>
        <w:t xml:space="preserve"> factors that shape this relation. T</w:t>
      </w:r>
      <w:r>
        <w:rPr>
          <w:sz w:val="24"/>
          <w:szCs w:val="24"/>
        </w:rPr>
        <w:t xml:space="preserve">his section attempts to flash them out by discussing the main differences between </w:t>
      </w:r>
      <w:r w:rsidR="00D26F73">
        <w:rPr>
          <w:sz w:val="24"/>
          <w:szCs w:val="24"/>
        </w:rPr>
        <w:t xml:space="preserve">monetary institutions in </w:t>
      </w:r>
      <w:r w:rsidR="008C56D7">
        <w:rPr>
          <w:sz w:val="24"/>
          <w:szCs w:val="24"/>
        </w:rPr>
        <w:t xml:space="preserve">Germany then and the US today. </w:t>
      </w:r>
      <w:r>
        <w:rPr>
          <w:sz w:val="24"/>
          <w:szCs w:val="24"/>
        </w:rPr>
        <w:t xml:space="preserve"> </w:t>
      </w:r>
    </w:p>
    <w:p w:rsidR="003F6447" w:rsidRDefault="00390971" w:rsidP="00FC33A9">
      <w:pPr>
        <w:pStyle w:val="FootnoteText"/>
        <w:spacing w:line="360" w:lineRule="auto"/>
        <w:jc w:val="both"/>
        <w:rPr>
          <w:sz w:val="24"/>
          <w:szCs w:val="24"/>
        </w:rPr>
      </w:pPr>
      <w:r>
        <w:rPr>
          <w:sz w:val="24"/>
          <w:szCs w:val="24"/>
        </w:rPr>
        <w:tab/>
        <w:t>The first difference is related to th</w:t>
      </w:r>
      <w:r w:rsidR="00EE5DC3">
        <w:rPr>
          <w:sz w:val="24"/>
          <w:szCs w:val="24"/>
        </w:rPr>
        <w:t xml:space="preserve">e discussion in sections 1 and 5 </w:t>
      </w:r>
      <w:r>
        <w:rPr>
          <w:sz w:val="24"/>
          <w:szCs w:val="24"/>
        </w:rPr>
        <w:t>of this paper. Those sections show that about t</w:t>
      </w:r>
      <w:r w:rsidR="000F40B4">
        <w:rPr>
          <w:sz w:val="24"/>
          <w:szCs w:val="24"/>
        </w:rPr>
        <w:t>hree quarters of the huge monetary base expansion took</w:t>
      </w:r>
      <w:r>
        <w:rPr>
          <w:sz w:val="24"/>
          <w:szCs w:val="24"/>
        </w:rPr>
        <w:t xml:space="preserve"> the form of an increase in bank reserves at the Fed </w:t>
      </w:r>
      <w:r w:rsidR="000F40B4">
        <w:rPr>
          <w:sz w:val="24"/>
          <w:szCs w:val="24"/>
        </w:rPr>
        <w:t xml:space="preserve">without any appreciable impact on </w:t>
      </w:r>
      <w:r>
        <w:rPr>
          <w:sz w:val="24"/>
          <w:szCs w:val="24"/>
        </w:rPr>
        <w:t>credit growth</w:t>
      </w:r>
      <w:r w:rsidR="000F40B4">
        <w:rPr>
          <w:sz w:val="24"/>
          <w:szCs w:val="24"/>
        </w:rPr>
        <w:t xml:space="preserve">. </w:t>
      </w:r>
      <w:r>
        <w:rPr>
          <w:sz w:val="24"/>
          <w:szCs w:val="24"/>
        </w:rPr>
        <w:t xml:space="preserve">As a consequence higher order monetary </w:t>
      </w:r>
      <w:r w:rsidR="003F6E94">
        <w:rPr>
          <w:sz w:val="24"/>
          <w:szCs w:val="24"/>
        </w:rPr>
        <w:t xml:space="preserve">stocks </w:t>
      </w:r>
      <w:r>
        <w:rPr>
          <w:sz w:val="24"/>
          <w:szCs w:val="24"/>
        </w:rPr>
        <w:t xml:space="preserve">in the public’s </w:t>
      </w:r>
      <w:proofErr w:type="spellStart"/>
      <w:r>
        <w:rPr>
          <w:sz w:val="24"/>
          <w:szCs w:val="24"/>
        </w:rPr>
        <w:t>portofolio</w:t>
      </w:r>
      <w:proofErr w:type="spellEnd"/>
      <w:r w:rsidR="003F6E94">
        <w:rPr>
          <w:sz w:val="24"/>
          <w:szCs w:val="24"/>
        </w:rPr>
        <w:t xml:space="preserve"> and (relatedly) </w:t>
      </w:r>
      <w:r w:rsidR="001645B8">
        <w:rPr>
          <w:sz w:val="24"/>
          <w:szCs w:val="24"/>
        </w:rPr>
        <w:t xml:space="preserve">the transmission to the </w:t>
      </w:r>
      <w:r w:rsidR="003F6E94">
        <w:rPr>
          <w:sz w:val="24"/>
          <w:szCs w:val="24"/>
        </w:rPr>
        <w:t xml:space="preserve">demand for goods and services </w:t>
      </w:r>
      <w:r w:rsidR="001645B8">
        <w:rPr>
          <w:sz w:val="24"/>
          <w:szCs w:val="24"/>
        </w:rPr>
        <w:t xml:space="preserve">was much weaker </w:t>
      </w:r>
      <w:r w:rsidR="00EC267A">
        <w:rPr>
          <w:sz w:val="24"/>
          <w:szCs w:val="24"/>
        </w:rPr>
        <w:t xml:space="preserve">than suggested at first blush </w:t>
      </w:r>
      <w:r w:rsidR="001645B8">
        <w:rPr>
          <w:sz w:val="24"/>
          <w:szCs w:val="24"/>
        </w:rPr>
        <w:t xml:space="preserve">by the figures on base expansion. </w:t>
      </w:r>
      <w:r w:rsidR="003F6E94">
        <w:rPr>
          <w:sz w:val="24"/>
          <w:szCs w:val="24"/>
        </w:rPr>
        <w:t xml:space="preserve">By contrast in Germany during the twenties practically all the expansion in high powered money was used </w:t>
      </w:r>
      <w:r w:rsidR="0072451E">
        <w:rPr>
          <w:sz w:val="24"/>
          <w:szCs w:val="24"/>
        </w:rPr>
        <w:t xml:space="preserve">from </w:t>
      </w:r>
      <w:r w:rsidR="0072451E">
        <w:rPr>
          <w:sz w:val="24"/>
          <w:szCs w:val="24"/>
        </w:rPr>
        <w:lastRenderedPageBreak/>
        <w:t xml:space="preserve">the start </w:t>
      </w:r>
      <w:r w:rsidR="003F6E94">
        <w:rPr>
          <w:sz w:val="24"/>
          <w:szCs w:val="24"/>
        </w:rPr>
        <w:t>by Governm</w:t>
      </w:r>
      <w:r w:rsidR="0072451E">
        <w:rPr>
          <w:sz w:val="24"/>
          <w:szCs w:val="24"/>
        </w:rPr>
        <w:t>ent to finance the state budget. Cukierman (1988, page</w:t>
      </w:r>
      <w:r w:rsidR="001645B8">
        <w:rPr>
          <w:sz w:val="24"/>
          <w:szCs w:val="24"/>
        </w:rPr>
        <w:t xml:space="preserve"> 47) calculates that during 1921, 1922 and 1923 </w:t>
      </w:r>
      <w:proofErr w:type="spellStart"/>
      <w:r w:rsidR="001645B8">
        <w:rPr>
          <w:sz w:val="24"/>
          <w:szCs w:val="24"/>
        </w:rPr>
        <w:t>seignorage</w:t>
      </w:r>
      <w:proofErr w:type="spellEnd"/>
      <w:r w:rsidR="001645B8">
        <w:rPr>
          <w:sz w:val="24"/>
          <w:szCs w:val="24"/>
        </w:rPr>
        <w:t xml:space="preserve"> financed 56%, 64% and 89% of the German </w:t>
      </w:r>
      <w:r w:rsidR="00EC267A">
        <w:rPr>
          <w:sz w:val="24"/>
          <w:szCs w:val="24"/>
        </w:rPr>
        <w:t>Government budget respectively. I</w:t>
      </w:r>
      <w:r w:rsidR="000F40B4">
        <w:rPr>
          <w:sz w:val="24"/>
          <w:szCs w:val="24"/>
        </w:rPr>
        <w:t>n a nutshell, the Fed’s base</w:t>
      </w:r>
      <w:r w:rsidR="00EC267A">
        <w:rPr>
          <w:sz w:val="24"/>
          <w:szCs w:val="24"/>
        </w:rPr>
        <w:t xml:space="preserve"> expansion </w:t>
      </w:r>
      <w:r w:rsidR="000F40B4">
        <w:rPr>
          <w:sz w:val="24"/>
          <w:szCs w:val="24"/>
        </w:rPr>
        <w:t xml:space="preserve">did not translate into demand for goods and services </w:t>
      </w:r>
      <w:r w:rsidR="00EC267A">
        <w:rPr>
          <w:sz w:val="24"/>
          <w:szCs w:val="24"/>
        </w:rPr>
        <w:t xml:space="preserve">whereas the German monetary expansion was motivated from the start by a strong hunger on the part of Government for </w:t>
      </w:r>
      <w:proofErr w:type="spellStart"/>
      <w:r w:rsidR="00EC267A">
        <w:rPr>
          <w:sz w:val="24"/>
          <w:szCs w:val="24"/>
        </w:rPr>
        <w:t>seignorage</w:t>
      </w:r>
      <w:proofErr w:type="spellEnd"/>
      <w:r w:rsidR="00EC267A">
        <w:rPr>
          <w:sz w:val="24"/>
          <w:szCs w:val="24"/>
        </w:rPr>
        <w:t xml:space="preserve"> revenues. </w:t>
      </w:r>
    </w:p>
    <w:p w:rsidR="005477C1" w:rsidRDefault="001645B8" w:rsidP="006C2CC0">
      <w:pPr>
        <w:pStyle w:val="FootnoteText"/>
        <w:spacing w:line="360" w:lineRule="auto"/>
        <w:jc w:val="both"/>
        <w:rPr>
          <w:sz w:val="24"/>
          <w:szCs w:val="24"/>
        </w:rPr>
      </w:pPr>
      <w:r>
        <w:rPr>
          <w:sz w:val="24"/>
          <w:szCs w:val="24"/>
        </w:rPr>
        <w:tab/>
      </w:r>
      <w:r w:rsidR="00EC267A">
        <w:rPr>
          <w:sz w:val="24"/>
          <w:szCs w:val="24"/>
        </w:rPr>
        <w:t>Second, p</w:t>
      </w:r>
      <w:r>
        <w:rPr>
          <w:sz w:val="24"/>
          <w:szCs w:val="24"/>
        </w:rPr>
        <w:t>olicy</w:t>
      </w:r>
      <w:r w:rsidR="00EC267A">
        <w:rPr>
          <w:sz w:val="24"/>
          <w:szCs w:val="24"/>
        </w:rPr>
        <w:t xml:space="preserve">making </w:t>
      </w:r>
      <w:r>
        <w:rPr>
          <w:sz w:val="24"/>
          <w:szCs w:val="24"/>
        </w:rPr>
        <w:t>institutions in today’s U</w:t>
      </w:r>
      <w:r w:rsidR="00A12912">
        <w:rPr>
          <w:sz w:val="24"/>
          <w:szCs w:val="24"/>
        </w:rPr>
        <w:t xml:space="preserve">S are completely different from </w:t>
      </w:r>
      <w:r>
        <w:rPr>
          <w:sz w:val="24"/>
          <w:szCs w:val="24"/>
        </w:rPr>
        <w:t xml:space="preserve">those of Germany </w:t>
      </w:r>
      <w:r w:rsidR="00EC267A">
        <w:rPr>
          <w:sz w:val="24"/>
          <w:szCs w:val="24"/>
        </w:rPr>
        <w:t>during the hyperinflation. The Fed is largely independent from political authori</w:t>
      </w:r>
      <w:r w:rsidR="00DE5FAE">
        <w:rPr>
          <w:sz w:val="24"/>
          <w:szCs w:val="24"/>
        </w:rPr>
        <w:t xml:space="preserve">ties and </w:t>
      </w:r>
      <w:proofErr w:type="spellStart"/>
      <w:r w:rsidR="00DE5FAE">
        <w:rPr>
          <w:sz w:val="24"/>
          <w:szCs w:val="24"/>
        </w:rPr>
        <w:t>commi</w:t>
      </w:r>
      <w:r w:rsidR="006F03B9">
        <w:rPr>
          <w:sz w:val="24"/>
          <w:szCs w:val="24"/>
        </w:rPr>
        <w:t>ted</w:t>
      </w:r>
      <w:proofErr w:type="spellEnd"/>
      <w:r w:rsidR="006F03B9">
        <w:rPr>
          <w:sz w:val="24"/>
          <w:szCs w:val="24"/>
        </w:rPr>
        <w:t xml:space="preserve"> to a low rate of inflation</w:t>
      </w:r>
      <w:r w:rsidR="00EC267A">
        <w:rPr>
          <w:sz w:val="24"/>
          <w:szCs w:val="24"/>
        </w:rPr>
        <w:t>. By contrast</w:t>
      </w:r>
      <w:r>
        <w:rPr>
          <w:sz w:val="24"/>
          <w:szCs w:val="24"/>
        </w:rPr>
        <w:t xml:space="preserve"> the </w:t>
      </w:r>
      <w:proofErr w:type="spellStart"/>
      <w:r>
        <w:rPr>
          <w:sz w:val="24"/>
          <w:szCs w:val="24"/>
        </w:rPr>
        <w:t>Reichsbank</w:t>
      </w:r>
      <w:proofErr w:type="spellEnd"/>
      <w:r>
        <w:rPr>
          <w:sz w:val="24"/>
          <w:szCs w:val="24"/>
        </w:rPr>
        <w:t xml:space="preserve"> (the German central bank during t</w:t>
      </w:r>
      <w:r w:rsidR="00EC267A">
        <w:rPr>
          <w:sz w:val="24"/>
          <w:szCs w:val="24"/>
        </w:rPr>
        <w:t>he hyperinflation) was totally under the control of German political authorities.</w:t>
      </w:r>
      <w:r w:rsidR="00A12912">
        <w:rPr>
          <w:sz w:val="24"/>
          <w:szCs w:val="24"/>
        </w:rPr>
        <w:t xml:space="preserve"> For political reasons related to the structure of war reparations imposed on Germany in conjunction with a post war damaged tax collection apparatus German political authorities had a major incentive to heavily rely on the printing press.</w:t>
      </w:r>
      <w:r w:rsidR="00A12912">
        <w:rPr>
          <w:rStyle w:val="FootnoteReference"/>
          <w:sz w:val="24"/>
          <w:szCs w:val="24"/>
        </w:rPr>
        <w:footnoteReference w:id="13"/>
      </w:r>
      <w:r w:rsidR="00A12912">
        <w:rPr>
          <w:sz w:val="24"/>
          <w:szCs w:val="24"/>
        </w:rPr>
        <w:t xml:space="preserve"> This difference is critical for the anchoring of inflationary</w:t>
      </w:r>
      <w:r w:rsidR="00027EFE">
        <w:rPr>
          <w:sz w:val="24"/>
          <w:szCs w:val="24"/>
        </w:rPr>
        <w:t xml:space="preserve"> expectations. As highlighted</w:t>
      </w:r>
      <w:r w:rsidR="00D16550">
        <w:rPr>
          <w:sz w:val="24"/>
          <w:szCs w:val="24"/>
        </w:rPr>
        <w:t xml:space="preserve"> by </w:t>
      </w:r>
      <w:r w:rsidR="00027EFE">
        <w:rPr>
          <w:sz w:val="24"/>
          <w:szCs w:val="24"/>
        </w:rPr>
        <w:t>the New-Keynesians literature</w:t>
      </w:r>
      <w:r w:rsidR="00D16550">
        <w:rPr>
          <w:sz w:val="24"/>
          <w:szCs w:val="24"/>
        </w:rPr>
        <w:t xml:space="preserve"> the behavior of those expectations has a first order effect on price adjustments in the economy, and therefore on the rate of inflation.</w:t>
      </w:r>
      <w:r w:rsidR="00CF51F3">
        <w:rPr>
          <w:sz w:val="24"/>
          <w:szCs w:val="24"/>
        </w:rPr>
        <w:t xml:space="preserve"> </w:t>
      </w:r>
      <w:r w:rsidR="00C73E81">
        <w:rPr>
          <w:rStyle w:val="FootnoteReference"/>
          <w:sz w:val="24"/>
          <w:szCs w:val="24"/>
        </w:rPr>
        <w:footnoteReference w:id="14"/>
      </w:r>
      <w:r w:rsidR="00402D30">
        <w:rPr>
          <w:sz w:val="24"/>
          <w:szCs w:val="24"/>
        </w:rPr>
        <w:t xml:space="preserve"> </w:t>
      </w:r>
    </w:p>
    <w:p w:rsidR="00E215E4" w:rsidRDefault="005477C1" w:rsidP="006F03B9">
      <w:pPr>
        <w:pStyle w:val="FootnoteText"/>
        <w:spacing w:line="360" w:lineRule="auto"/>
        <w:jc w:val="both"/>
        <w:rPr>
          <w:sz w:val="24"/>
          <w:szCs w:val="24"/>
        </w:rPr>
      </w:pPr>
      <w:r>
        <w:rPr>
          <w:sz w:val="24"/>
          <w:szCs w:val="24"/>
        </w:rPr>
        <w:tab/>
      </w:r>
      <w:r w:rsidR="00DE5FAE">
        <w:rPr>
          <w:sz w:val="24"/>
          <w:szCs w:val="24"/>
        </w:rPr>
        <w:t xml:space="preserve">In addition </w:t>
      </w:r>
      <w:r w:rsidR="00402D30">
        <w:rPr>
          <w:sz w:val="24"/>
          <w:szCs w:val="24"/>
        </w:rPr>
        <w:t xml:space="preserve">when inflationary expectations go up the speed of price adjustment by firms in the economy goes up </w:t>
      </w:r>
      <w:r w:rsidR="00DE5FAE">
        <w:rPr>
          <w:sz w:val="24"/>
          <w:szCs w:val="24"/>
        </w:rPr>
        <w:t>as well after a while. T</w:t>
      </w:r>
      <w:r w:rsidR="00402D30">
        <w:rPr>
          <w:sz w:val="24"/>
          <w:szCs w:val="24"/>
        </w:rPr>
        <w:t xml:space="preserve">his </w:t>
      </w:r>
      <w:r w:rsidR="00DE5FAE">
        <w:rPr>
          <w:sz w:val="24"/>
          <w:szCs w:val="24"/>
        </w:rPr>
        <w:t xml:space="preserve">mechanism </w:t>
      </w:r>
      <w:r w:rsidR="00402D30">
        <w:rPr>
          <w:sz w:val="24"/>
          <w:szCs w:val="24"/>
        </w:rPr>
        <w:t>further reinforces the acceleration in the rate of inflation.</w:t>
      </w:r>
      <w:r w:rsidR="00402D30">
        <w:rPr>
          <w:rStyle w:val="FootnoteReference"/>
          <w:sz w:val="24"/>
          <w:szCs w:val="24"/>
        </w:rPr>
        <w:footnoteReference w:id="15"/>
      </w:r>
      <w:r>
        <w:rPr>
          <w:sz w:val="24"/>
          <w:szCs w:val="24"/>
        </w:rPr>
        <w:t xml:space="preserve"> This process reached its full impact on inflation in Germany during the sec</w:t>
      </w:r>
      <w:r w:rsidR="006F03B9">
        <w:rPr>
          <w:sz w:val="24"/>
          <w:szCs w:val="24"/>
        </w:rPr>
        <w:t xml:space="preserve">ond half of the hyperinflation. </w:t>
      </w:r>
      <w:r w:rsidR="00E215E4">
        <w:rPr>
          <w:sz w:val="24"/>
          <w:szCs w:val="24"/>
        </w:rPr>
        <w:t xml:space="preserve">During the German hyperinflation central bank actions reinforced a trend of increase in the velocity of </w:t>
      </w:r>
      <w:r w:rsidR="00C22F2E">
        <w:rPr>
          <w:sz w:val="24"/>
          <w:szCs w:val="24"/>
        </w:rPr>
        <w:t>circulation of money (</w:t>
      </w:r>
      <w:proofErr w:type="spellStart"/>
      <w:r w:rsidR="00C22F2E">
        <w:rPr>
          <w:sz w:val="24"/>
          <w:szCs w:val="24"/>
        </w:rPr>
        <w:t>Cagan</w:t>
      </w:r>
      <w:proofErr w:type="spellEnd"/>
      <w:r w:rsidR="00C22F2E">
        <w:rPr>
          <w:sz w:val="24"/>
          <w:szCs w:val="24"/>
        </w:rPr>
        <w:t xml:space="preserve"> (195</w:t>
      </w:r>
      <w:r w:rsidR="00E215E4">
        <w:rPr>
          <w:sz w:val="24"/>
          <w:szCs w:val="24"/>
        </w:rPr>
        <w:t>6). By contrast, in the US since Lehman’s Collapse, the low interest policy of the Fed reduced the velocity of circulation. As previously explained those differences are traceable to differences in the origin</w:t>
      </w:r>
      <w:r w:rsidR="00C22F2E">
        <w:rPr>
          <w:sz w:val="24"/>
          <w:szCs w:val="24"/>
        </w:rPr>
        <w:t>s</w:t>
      </w:r>
      <w:r w:rsidR="00E215E4">
        <w:rPr>
          <w:sz w:val="24"/>
          <w:szCs w:val="24"/>
        </w:rPr>
        <w:t xml:space="preserve"> of the original shocks along with different institutional setups. </w:t>
      </w:r>
    </w:p>
    <w:p w:rsidR="007C293E" w:rsidRDefault="00027EFE" w:rsidP="006F03B9">
      <w:pPr>
        <w:pStyle w:val="FootnoteText"/>
        <w:spacing w:line="360" w:lineRule="auto"/>
        <w:jc w:val="both"/>
        <w:rPr>
          <w:sz w:val="24"/>
          <w:szCs w:val="24"/>
        </w:rPr>
      </w:pPr>
      <w:r>
        <w:rPr>
          <w:sz w:val="24"/>
          <w:szCs w:val="24"/>
        </w:rPr>
        <w:tab/>
      </w:r>
      <w:r w:rsidRPr="0067121C">
        <w:rPr>
          <w:sz w:val="24"/>
          <w:szCs w:val="24"/>
        </w:rPr>
        <w:t>During the German inflation there was no anchor for expectations. As a</w:t>
      </w:r>
      <w:r>
        <w:rPr>
          <w:sz w:val="24"/>
          <w:szCs w:val="24"/>
        </w:rPr>
        <w:t xml:space="preserve"> consequence, as inflation picked up, those expectations ultimately adjusted upward which </w:t>
      </w:r>
      <w:r>
        <w:rPr>
          <w:sz w:val="24"/>
          <w:szCs w:val="24"/>
        </w:rPr>
        <w:lastRenderedPageBreak/>
        <w:t>raised inflation further. By contrast, in today’s US, expectations are tightly anchored by the following two institutional devices: 1. Only the Fed decides on monetary policy and the</w:t>
      </w:r>
      <w:r w:rsidR="00FE6BCF">
        <w:rPr>
          <w:sz w:val="24"/>
          <w:szCs w:val="24"/>
        </w:rPr>
        <w:t xml:space="preserve"> Fed is committed to </w:t>
      </w:r>
      <w:r w:rsidR="00FE6BCF" w:rsidRPr="006F03B9">
        <w:rPr>
          <w:sz w:val="24"/>
          <w:szCs w:val="24"/>
        </w:rPr>
        <w:t>an explicit</w:t>
      </w:r>
      <w:r>
        <w:rPr>
          <w:sz w:val="24"/>
          <w:szCs w:val="24"/>
        </w:rPr>
        <w:t xml:space="preserve"> inflation targeting regime, 2. Relatedly, the US Government is prohibited from relying on </w:t>
      </w:r>
      <w:proofErr w:type="spellStart"/>
      <w:r>
        <w:rPr>
          <w:sz w:val="24"/>
          <w:szCs w:val="24"/>
        </w:rPr>
        <w:t>seignorage</w:t>
      </w:r>
      <w:proofErr w:type="spellEnd"/>
      <w:r>
        <w:rPr>
          <w:sz w:val="24"/>
          <w:szCs w:val="24"/>
        </w:rPr>
        <w:t xml:space="preserve"> to finance deficits. Admittedly the Fed has to turn the profits that accrue to it as a result of its </w:t>
      </w:r>
      <w:r w:rsidRPr="00A12990">
        <w:rPr>
          <w:b/>
          <w:bCs/>
          <w:sz w:val="24"/>
          <w:szCs w:val="24"/>
        </w:rPr>
        <w:t>i</w:t>
      </w:r>
      <w:r>
        <w:rPr>
          <w:b/>
          <w:bCs/>
          <w:sz w:val="24"/>
          <w:szCs w:val="24"/>
        </w:rPr>
        <w:t xml:space="preserve">ndependent </w:t>
      </w:r>
      <w:r>
        <w:rPr>
          <w:sz w:val="24"/>
          <w:szCs w:val="24"/>
        </w:rPr>
        <w:t>monetary operations to governmen</w:t>
      </w:r>
      <w:r w:rsidR="00FE6BCF">
        <w:rPr>
          <w:sz w:val="24"/>
          <w:szCs w:val="24"/>
        </w:rPr>
        <w:t xml:space="preserve">t </w:t>
      </w:r>
      <w:r w:rsidR="00FE6BCF" w:rsidRPr="006F03B9">
        <w:rPr>
          <w:sz w:val="24"/>
          <w:szCs w:val="24"/>
        </w:rPr>
        <w:t>every week</w:t>
      </w:r>
      <w:r w:rsidRPr="006F03B9">
        <w:rPr>
          <w:sz w:val="24"/>
          <w:szCs w:val="24"/>
        </w:rPr>
        <w:t>.</w:t>
      </w:r>
      <w:r>
        <w:rPr>
          <w:sz w:val="24"/>
          <w:szCs w:val="24"/>
        </w:rPr>
        <w:t xml:space="preserve"> But Government cannot influence the size of those profits in order to </w:t>
      </w:r>
      <w:proofErr w:type="spellStart"/>
      <w:proofErr w:type="gramStart"/>
      <w:r>
        <w:rPr>
          <w:sz w:val="24"/>
          <w:szCs w:val="24"/>
        </w:rPr>
        <w:t>taylor</w:t>
      </w:r>
      <w:proofErr w:type="spellEnd"/>
      <w:proofErr w:type="gramEnd"/>
      <w:r>
        <w:rPr>
          <w:sz w:val="24"/>
          <w:szCs w:val="24"/>
        </w:rPr>
        <w:t xml:space="preserve"> them to its fiscal needs. Those two factors contribute a lot to the current credibility of monetary policy in the US and through it to the anchorin</w:t>
      </w:r>
      <w:r w:rsidR="00B76965">
        <w:rPr>
          <w:sz w:val="24"/>
          <w:szCs w:val="24"/>
        </w:rPr>
        <w:t>g of inflationary expectations.</w:t>
      </w:r>
    </w:p>
    <w:p w:rsidR="0042453E" w:rsidRDefault="00D4464C" w:rsidP="006F03B9">
      <w:pPr>
        <w:pStyle w:val="FootnoteText"/>
        <w:spacing w:line="360" w:lineRule="auto"/>
        <w:jc w:val="both"/>
        <w:rPr>
          <w:sz w:val="24"/>
          <w:szCs w:val="24"/>
        </w:rPr>
      </w:pPr>
      <w:r>
        <w:rPr>
          <w:sz w:val="24"/>
          <w:szCs w:val="24"/>
        </w:rPr>
        <w:tab/>
      </w:r>
      <w:r w:rsidR="00C73E81">
        <w:rPr>
          <w:sz w:val="24"/>
          <w:szCs w:val="24"/>
        </w:rPr>
        <w:t>Last but not least, following WWI Germany had little or no access to international capital markets.</w:t>
      </w:r>
      <w:r w:rsidR="00246BD5">
        <w:rPr>
          <w:sz w:val="24"/>
          <w:szCs w:val="24"/>
        </w:rPr>
        <w:t xml:space="preserve"> As a consequence the main, if not only, way</w:t>
      </w:r>
      <w:r>
        <w:rPr>
          <w:sz w:val="24"/>
          <w:szCs w:val="24"/>
        </w:rPr>
        <w:t xml:space="preserve"> to finance deficits was via</w:t>
      </w:r>
      <w:r w:rsidR="00246BD5">
        <w:rPr>
          <w:sz w:val="24"/>
          <w:szCs w:val="24"/>
        </w:rPr>
        <w:t xml:space="preserve"> monetary expansion. By contrast the US enjoys unparalleled access to </w:t>
      </w:r>
      <w:r w:rsidR="009C088B">
        <w:rPr>
          <w:sz w:val="24"/>
          <w:szCs w:val="24"/>
        </w:rPr>
        <w:t xml:space="preserve">both home and </w:t>
      </w:r>
      <w:r w:rsidR="00246BD5">
        <w:rPr>
          <w:sz w:val="24"/>
          <w:szCs w:val="24"/>
        </w:rPr>
        <w:t xml:space="preserve">international capital markets as well as the </w:t>
      </w:r>
      <w:proofErr w:type="spellStart"/>
      <w:r w:rsidR="00246BD5">
        <w:rPr>
          <w:sz w:val="24"/>
          <w:szCs w:val="24"/>
        </w:rPr>
        <w:t>priviledge</w:t>
      </w:r>
      <w:proofErr w:type="spellEnd"/>
      <w:r w:rsidR="00246BD5">
        <w:rPr>
          <w:sz w:val="24"/>
          <w:szCs w:val="24"/>
        </w:rPr>
        <w:t xml:space="preserve"> to </w:t>
      </w:r>
      <w:r w:rsidR="000A3E16">
        <w:rPr>
          <w:sz w:val="24"/>
          <w:szCs w:val="24"/>
        </w:rPr>
        <w:t>borrow in its own currency.</w:t>
      </w:r>
      <w:r w:rsidR="000A3E16" w:rsidRPr="000A3E16">
        <w:rPr>
          <w:rStyle w:val="FootnoteReference"/>
          <w:sz w:val="24"/>
          <w:szCs w:val="24"/>
        </w:rPr>
        <w:t xml:space="preserve"> </w:t>
      </w:r>
      <w:r w:rsidR="000A3E16">
        <w:rPr>
          <w:rStyle w:val="FootnoteReference"/>
          <w:sz w:val="24"/>
          <w:szCs w:val="24"/>
        </w:rPr>
        <w:footnoteReference w:id="16"/>
      </w:r>
      <w:r w:rsidR="000A3E16">
        <w:rPr>
          <w:sz w:val="24"/>
          <w:szCs w:val="24"/>
        </w:rPr>
        <w:t xml:space="preserve"> </w:t>
      </w:r>
      <w:r w:rsidR="009C088B">
        <w:rPr>
          <w:sz w:val="24"/>
          <w:szCs w:val="24"/>
        </w:rPr>
        <w:t>Thus,</w:t>
      </w:r>
      <w:r w:rsidR="00246BD5">
        <w:rPr>
          <w:sz w:val="24"/>
          <w:szCs w:val="24"/>
        </w:rPr>
        <w:t xml:space="preserve"> US fiscal authorities have n</w:t>
      </w:r>
      <w:r w:rsidR="009C088B">
        <w:rPr>
          <w:sz w:val="24"/>
          <w:szCs w:val="24"/>
        </w:rPr>
        <w:t xml:space="preserve">o reason to rely on </w:t>
      </w:r>
      <w:proofErr w:type="spellStart"/>
      <w:r w:rsidR="009C088B">
        <w:rPr>
          <w:sz w:val="24"/>
          <w:szCs w:val="24"/>
        </w:rPr>
        <w:t>seignorage</w:t>
      </w:r>
      <w:proofErr w:type="spellEnd"/>
      <w:r w:rsidR="009C088B">
        <w:rPr>
          <w:sz w:val="24"/>
          <w:szCs w:val="24"/>
        </w:rPr>
        <w:t xml:space="preserve"> revenues even in the face of substantial deficits. Consequently, the credibility of low US inflation is backed not only by the law that prohibits government from directl</w:t>
      </w:r>
      <w:r w:rsidR="00EE4BB4">
        <w:rPr>
          <w:sz w:val="24"/>
          <w:szCs w:val="24"/>
        </w:rPr>
        <w:t>y borrowing at the Fed but,</w:t>
      </w:r>
      <w:r w:rsidR="009C088B">
        <w:rPr>
          <w:sz w:val="24"/>
          <w:szCs w:val="24"/>
        </w:rPr>
        <w:t xml:space="preserve"> more fundamentally, by the US Government easy access to financial markets. </w:t>
      </w:r>
      <w:r w:rsidR="00246BD5">
        <w:rPr>
          <w:sz w:val="24"/>
          <w:szCs w:val="24"/>
        </w:rPr>
        <w:t xml:space="preserve"> </w:t>
      </w:r>
    </w:p>
    <w:p w:rsidR="003F6447" w:rsidRDefault="00246BD5" w:rsidP="006F03B9">
      <w:pPr>
        <w:pStyle w:val="FootnoteText"/>
        <w:spacing w:line="360" w:lineRule="auto"/>
        <w:jc w:val="both"/>
        <w:rPr>
          <w:sz w:val="24"/>
          <w:szCs w:val="24"/>
        </w:rPr>
      </w:pPr>
      <w:r>
        <w:rPr>
          <w:sz w:val="24"/>
          <w:szCs w:val="24"/>
        </w:rPr>
        <w:t xml:space="preserve"> </w:t>
      </w:r>
    </w:p>
    <w:p w:rsidR="00CF02B5" w:rsidRDefault="00CF02B5" w:rsidP="004F71B7">
      <w:pPr>
        <w:pStyle w:val="FootnoteText"/>
        <w:numPr>
          <w:ilvl w:val="0"/>
          <w:numId w:val="9"/>
        </w:numPr>
        <w:spacing w:line="360" w:lineRule="auto"/>
        <w:rPr>
          <w:sz w:val="28"/>
          <w:szCs w:val="28"/>
        </w:rPr>
      </w:pPr>
      <w:r w:rsidRPr="00CF02B5">
        <w:rPr>
          <w:b/>
          <w:bCs/>
          <w:sz w:val="28"/>
          <w:szCs w:val="28"/>
        </w:rPr>
        <w:t>Implicati</w:t>
      </w:r>
      <w:r w:rsidR="006F03B9">
        <w:rPr>
          <w:b/>
          <w:bCs/>
          <w:sz w:val="28"/>
          <w:szCs w:val="28"/>
        </w:rPr>
        <w:t>ons for</w:t>
      </w:r>
      <w:r w:rsidRPr="00CF02B5">
        <w:rPr>
          <w:b/>
          <w:bCs/>
          <w:sz w:val="28"/>
          <w:szCs w:val="28"/>
        </w:rPr>
        <w:t xml:space="preserve"> exit strategies</w:t>
      </w:r>
    </w:p>
    <w:p w:rsidR="00FB279B" w:rsidRDefault="00BF5F1D" w:rsidP="00141EF5">
      <w:pPr>
        <w:pStyle w:val="FootnoteText"/>
        <w:spacing w:line="360" w:lineRule="auto"/>
        <w:jc w:val="both"/>
        <w:rPr>
          <w:sz w:val="24"/>
          <w:szCs w:val="24"/>
        </w:rPr>
      </w:pPr>
      <w:r>
        <w:rPr>
          <w:sz w:val="24"/>
          <w:szCs w:val="24"/>
        </w:rPr>
        <w:tab/>
      </w:r>
      <w:r w:rsidR="00FB279B">
        <w:rPr>
          <w:sz w:val="24"/>
          <w:szCs w:val="24"/>
        </w:rPr>
        <w:t xml:space="preserve">In their </w:t>
      </w:r>
      <w:proofErr w:type="spellStart"/>
      <w:r w:rsidR="00FB279B">
        <w:rPr>
          <w:sz w:val="24"/>
          <w:szCs w:val="24"/>
        </w:rPr>
        <w:t>well known</w:t>
      </w:r>
      <w:proofErr w:type="spellEnd"/>
      <w:r w:rsidR="00FB279B">
        <w:rPr>
          <w:sz w:val="24"/>
          <w:szCs w:val="24"/>
        </w:rPr>
        <w:t xml:space="preserve"> book Friedman and Schwartz (1963) note that an important policy error </w:t>
      </w:r>
      <w:proofErr w:type="spellStart"/>
      <w:r w:rsidR="00FB279B">
        <w:rPr>
          <w:sz w:val="24"/>
          <w:szCs w:val="24"/>
        </w:rPr>
        <w:t>commited</w:t>
      </w:r>
      <w:proofErr w:type="spellEnd"/>
      <w:r w:rsidR="00FB279B">
        <w:rPr>
          <w:sz w:val="24"/>
          <w:szCs w:val="24"/>
        </w:rPr>
        <w:t xml:space="preserve"> by the Fed during the great depression was that it did not prevent the decrease in the money supply caused by multiple banking failures. This lesson has been well learned by the Fed during the recent crisis who under the leadership of Ben Bernanke injected sufficient liquidity to prevent any decreases in M1 and </w:t>
      </w:r>
      <w:r w:rsidR="00FE6185">
        <w:rPr>
          <w:sz w:val="24"/>
          <w:szCs w:val="24"/>
        </w:rPr>
        <w:t>M2. As can be seen from Figure 9</w:t>
      </w:r>
      <w:r w:rsidR="00FB279B">
        <w:rPr>
          <w:sz w:val="24"/>
          <w:szCs w:val="24"/>
        </w:rPr>
        <w:t xml:space="preserve"> those stocks actually increased in spite of the Lehman event. But</w:t>
      </w:r>
      <w:r w:rsidR="00F13FCD">
        <w:rPr>
          <w:sz w:val="24"/>
          <w:szCs w:val="24"/>
        </w:rPr>
        <w:t>, due to</w:t>
      </w:r>
      <w:r w:rsidR="00FB279B">
        <w:rPr>
          <w:sz w:val="24"/>
          <w:szCs w:val="24"/>
        </w:rPr>
        <w:t xml:space="preserve"> </w:t>
      </w:r>
      <w:r w:rsidR="00F13FCD">
        <w:rPr>
          <w:sz w:val="24"/>
          <w:szCs w:val="24"/>
        </w:rPr>
        <w:t xml:space="preserve">the sluggish growth in banking credit </w:t>
      </w:r>
      <w:r w:rsidR="00FB279B">
        <w:rPr>
          <w:sz w:val="24"/>
          <w:szCs w:val="24"/>
        </w:rPr>
        <w:t>the same liquidity injections created a</w:t>
      </w:r>
      <w:r w:rsidR="00F13FCD">
        <w:rPr>
          <w:sz w:val="24"/>
          <w:szCs w:val="24"/>
        </w:rPr>
        <w:t xml:space="preserve"> large pool of excess reserves</w:t>
      </w:r>
      <w:r w:rsidR="00FB279B">
        <w:rPr>
          <w:sz w:val="24"/>
          <w:szCs w:val="24"/>
        </w:rPr>
        <w:t xml:space="preserve">.   </w:t>
      </w:r>
    </w:p>
    <w:p w:rsidR="00E7723A" w:rsidRDefault="00FB279B" w:rsidP="00FE6185">
      <w:pPr>
        <w:pStyle w:val="FootnoteText"/>
        <w:spacing w:line="360" w:lineRule="auto"/>
        <w:jc w:val="both"/>
        <w:rPr>
          <w:sz w:val="24"/>
          <w:szCs w:val="24"/>
        </w:rPr>
      </w:pPr>
      <w:r>
        <w:rPr>
          <w:sz w:val="24"/>
          <w:szCs w:val="24"/>
        </w:rPr>
        <w:tab/>
      </w:r>
      <w:r w:rsidR="00FE6185">
        <w:rPr>
          <w:sz w:val="24"/>
          <w:szCs w:val="24"/>
        </w:rPr>
        <w:t>It would appear at first blush that t</w:t>
      </w:r>
      <w:r w:rsidR="00CD4151">
        <w:rPr>
          <w:sz w:val="24"/>
          <w:szCs w:val="24"/>
        </w:rPr>
        <w:t xml:space="preserve">he </w:t>
      </w:r>
      <w:r w:rsidR="00BF5F1D">
        <w:rPr>
          <w:sz w:val="24"/>
          <w:szCs w:val="24"/>
        </w:rPr>
        <w:t>current</w:t>
      </w:r>
      <w:r>
        <w:rPr>
          <w:sz w:val="24"/>
          <w:szCs w:val="24"/>
        </w:rPr>
        <w:t>ly</w:t>
      </w:r>
      <w:r w:rsidR="00BF5F1D">
        <w:rPr>
          <w:sz w:val="24"/>
          <w:szCs w:val="24"/>
        </w:rPr>
        <w:t xml:space="preserve"> high level</w:t>
      </w:r>
      <w:r w:rsidR="00911FBC">
        <w:rPr>
          <w:sz w:val="24"/>
          <w:szCs w:val="24"/>
        </w:rPr>
        <w:t xml:space="preserve"> of </w:t>
      </w:r>
      <w:r w:rsidR="00FE6185">
        <w:rPr>
          <w:sz w:val="24"/>
          <w:szCs w:val="24"/>
        </w:rPr>
        <w:t>reserves h</w:t>
      </w:r>
      <w:r w:rsidR="00911FBC">
        <w:rPr>
          <w:sz w:val="24"/>
          <w:szCs w:val="24"/>
        </w:rPr>
        <w:t>as</w:t>
      </w:r>
      <w:r w:rsidR="00FE6185">
        <w:rPr>
          <w:sz w:val="24"/>
          <w:szCs w:val="24"/>
        </w:rPr>
        <w:t xml:space="preserve"> the potential to ignite </w:t>
      </w:r>
      <w:r w:rsidR="00CD4151">
        <w:rPr>
          <w:sz w:val="24"/>
          <w:szCs w:val="24"/>
        </w:rPr>
        <w:t>i</w:t>
      </w:r>
      <w:r w:rsidR="00D7347F">
        <w:rPr>
          <w:sz w:val="24"/>
          <w:szCs w:val="24"/>
        </w:rPr>
        <w:t xml:space="preserve">nflationary risks </w:t>
      </w:r>
      <w:r w:rsidR="00FE6185">
        <w:rPr>
          <w:sz w:val="24"/>
          <w:szCs w:val="24"/>
        </w:rPr>
        <w:t xml:space="preserve">when banks </w:t>
      </w:r>
      <w:r w:rsidR="00911FBC">
        <w:rPr>
          <w:sz w:val="24"/>
          <w:szCs w:val="24"/>
        </w:rPr>
        <w:t xml:space="preserve">ultimately </w:t>
      </w:r>
      <w:r w:rsidR="00FE6185">
        <w:rPr>
          <w:sz w:val="24"/>
          <w:szCs w:val="24"/>
        </w:rPr>
        <w:t xml:space="preserve">find it profitable to utilize </w:t>
      </w:r>
      <w:r w:rsidR="00FE6185">
        <w:rPr>
          <w:sz w:val="24"/>
          <w:szCs w:val="24"/>
        </w:rPr>
        <w:lastRenderedPageBreak/>
        <w:t>them in order to substantially expand credit</w:t>
      </w:r>
      <w:r w:rsidR="00D7347F">
        <w:rPr>
          <w:sz w:val="24"/>
          <w:szCs w:val="24"/>
        </w:rPr>
        <w:t>.</w:t>
      </w:r>
      <w:r w:rsidR="00D7347F">
        <w:rPr>
          <w:rStyle w:val="FootnoteReference"/>
          <w:sz w:val="24"/>
          <w:szCs w:val="24"/>
        </w:rPr>
        <w:footnoteReference w:id="17"/>
      </w:r>
      <w:r w:rsidR="00D7347F">
        <w:rPr>
          <w:sz w:val="24"/>
          <w:szCs w:val="24"/>
        </w:rPr>
        <w:t xml:space="preserve"> </w:t>
      </w:r>
      <w:r w:rsidR="00294D02">
        <w:rPr>
          <w:sz w:val="24"/>
          <w:szCs w:val="24"/>
        </w:rPr>
        <w:t>This is</w:t>
      </w:r>
      <w:r w:rsidR="00B603A9">
        <w:rPr>
          <w:sz w:val="24"/>
          <w:szCs w:val="24"/>
        </w:rPr>
        <w:t xml:space="preserve"> obviously far from being the case currently (November 2015) with latest US inflation hovering around zero and negative inflation rates in Europe.</w:t>
      </w:r>
      <w:r w:rsidR="000A7D3A">
        <w:rPr>
          <w:sz w:val="24"/>
          <w:szCs w:val="24"/>
        </w:rPr>
        <w:t xml:space="preserve"> It is nonetheless important to explore the options available to the Fed if and when the large quantities of liquidity injected through the various quantitative easing programs between 2008 and 2014 induce substantial new credit creation. </w:t>
      </w:r>
    </w:p>
    <w:p w:rsidR="00AD5FE2" w:rsidRDefault="00E7723A" w:rsidP="00CB308E">
      <w:pPr>
        <w:pStyle w:val="FootnoteText"/>
        <w:spacing w:after="100" w:afterAutospacing="1" w:line="360" w:lineRule="auto"/>
        <w:rPr>
          <w:sz w:val="24"/>
          <w:szCs w:val="24"/>
        </w:rPr>
      </w:pPr>
      <w:r>
        <w:rPr>
          <w:sz w:val="24"/>
          <w:szCs w:val="24"/>
        </w:rPr>
        <w:tab/>
      </w:r>
      <w:r w:rsidR="000A7D3A">
        <w:rPr>
          <w:sz w:val="24"/>
          <w:szCs w:val="24"/>
        </w:rPr>
        <w:t>Ther</w:t>
      </w:r>
      <w:r>
        <w:rPr>
          <w:sz w:val="24"/>
          <w:szCs w:val="24"/>
        </w:rPr>
        <w:t>e</w:t>
      </w:r>
      <w:r w:rsidR="000A7D3A">
        <w:rPr>
          <w:sz w:val="24"/>
          <w:szCs w:val="24"/>
        </w:rPr>
        <w:t xml:space="preserve"> are at least two views regardin</w:t>
      </w:r>
      <w:r>
        <w:rPr>
          <w:sz w:val="24"/>
          <w:szCs w:val="24"/>
        </w:rPr>
        <w:t xml:space="preserve">g the Fed’s “tapering” options at this point. One is the traditional view </w:t>
      </w:r>
      <w:r w:rsidR="00DB067A">
        <w:rPr>
          <w:sz w:val="24"/>
          <w:szCs w:val="24"/>
        </w:rPr>
        <w:t xml:space="preserve">according to which the Fed will have to gradually unload parts of the large bond </w:t>
      </w:r>
      <w:proofErr w:type="spellStart"/>
      <w:r w:rsidR="00DB067A">
        <w:rPr>
          <w:sz w:val="24"/>
          <w:szCs w:val="24"/>
        </w:rPr>
        <w:t>portofolio</w:t>
      </w:r>
      <w:proofErr w:type="spellEnd"/>
      <w:r w:rsidR="00DB067A">
        <w:rPr>
          <w:sz w:val="24"/>
          <w:szCs w:val="24"/>
        </w:rPr>
        <w:t xml:space="preserve"> it had accumulated during the six years following Lehman’s collapse. The other view, apparently held by policymakers at the Fed, is that the necessary monetary restraint could be achieved</w:t>
      </w:r>
      <w:r w:rsidR="00F7790B">
        <w:rPr>
          <w:sz w:val="24"/>
          <w:szCs w:val="24"/>
        </w:rPr>
        <w:t>, instead,</w:t>
      </w:r>
      <w:r w:rsidR="00DB067A">
        <w:rPr>
          <w:sz w:val="24"/>
          <w:szCs w:val="24"/>
        </w:rPr>
        <w:t xml:space="preserve"> by a gradual increase in </w:t>
      </w:r>
      <w:r w:rsidR="00F7790B">
        <w:rPr>
          <w:sz w:val="24"/>
          <w:szCs w:val="24"/>
        </w:rPr>
        <w:t xml:space="preserve">the interest </w:t>
      </w:r>
      <w:r w:rsidR="005C53C8">
        <w:rPr>
          <w:sz w:val="24"/>
          <w:szCs w:val="24"/>
        </w:rPr>
        <w:t xml:space="preserve">rate </w:t>
      </w:r>
      <w:r w:rsidR="00F7790B">
        <w:rPr>
          <w:sz w:val="24"/>
          <w:szCs w:val="24"/>
        </w:rPr>
        <w:t>paid on reserves.</w:t>
      </w:r>
      <w:r w:rsidR="00CB308E">
        <w:rPr>
          <w:sz w:val="24"/>
          <w:szCs w:val="24"/>
        </w:rPr>
        <w:t xml:space="preserve"> </w:t>
      </w:r>
      <w:r w:rsidR="00CB308E" w:rsidRPr="00CB308E">
        <w:rPr>
          <w:sz w:val="24"/>
          <w:szCs w:val="24"/>
        </w:rPr>
        <w:t xml:space="preserve">This </w:t>
      </w:r>
      <w:proofErr w:type="gramStart"/>
      <w:r w:rsidR="00CB308E" w:rsidRPr="00CB308E">
        <w:rPr>
          <w:sz w:val="24"/>
          <w:szCs w:val="24"/>
        </w:rPr>
        <w:t>option  became</w:t>
      </w:r>
      <w:proofErr w:type="gramEnd"/>
      <w:r w:rsidR="00CB308E" w:rsidRPr="00CB308E">
        <w:rPr>
          <w:sz w:val="24"/>
          <w:szCs w:val="24"/>
        </w:rPr>
        <w:t xml:space="preserve">  available only in 2008 when pre-exiting legislation that prohibited the Fed from paying interest on bank reserves was amended.</w:t>
      </w:r>
      <w:r w:rsidR="00CB308E">
        <w:rPr>
          <w:sz w:val="24"/>
          <w:szCs w:val="24"/>
        </w:rPr>
        <w:t xml:space="preserve"> In the Fed’s </w:t>
      </w:r>
      <w:proofErr w:type="spellStart"/>
      <w:r w:rsidR="00CB308E">
        <w:rPr>
          <w:sz w:val="24"/>
          <w:szCs w:val="24"/>
        </w:rPr>
        <w:t>Semmiannual</w:t>
      </w:r>
      <w:proofErr w:type="spellEnd"/>
      <w:r w:rsidR="00CB308E">
        <w:rPr>
          <w:sz w:val="24"/>
          <w:szCs w:val="24"/>
        </w:rPr>
        <w:t xml:space="preserve"> Monetary Policy Report from February 24 2010 Chairman Bernanke states in this context: </w:t>
      </w:r>
    </w:p>
    <w:p w:rsidR="00CB308E" w:rsidRDefault="00CB308E" w:rsidP="00CB308E">
      <w:pPr>
        <w:pStyle w:val="FootnoteText"/>
        <w:spacing w:after="100" w:afterAutospacing="1" w:line="360" w:lineRule="auto"/>
        <w:rPr>
          <w:rFonts w:asciiTheme="majorBidi" w:hAnsiTheme="majorBidi" w:cstheme="majorBidi"/>
          <w:color w:val="000000"/>
          <w:sz w:val="24"/>
          <w:szCs w:val="24"/>
        </w:rPr>
      </w:pPr>
      <w:r w:rsidRPr="005B7A97">
        <w:rPr>
          <w:rFonts w:asciiTheme="majorBidi" w:hAnsiTheme="majorBidi" w:cstheme="majorBidi"/>
          <w:sz w:val="24"/>
          <w:szCs w:val="24"/>
        </w:rPr>
        <w:t>“</w:t>
      </w:r>
      <w:r w:rsidR="00550E10" w:rsidRPr="005B7A97">
        <w:rPr>
          <w:rFonts w:asciiTheme="majorBidi" w:hAnsiTheme="majorBidi" w:cstheme="majorBidi"/>
          <w:i/>
          <w:iCs/>
          <w:color w:val="000000"/>
          <w:sz w:val="24"/>
          <w:szCs w:val="24"/>
        </w:rPr>
        <w:t>Most importantly, in October 2008 the Congress gave statutory authority to the Federal Reserve to pay interest on banks' holdings of reserve balances at Federal Reserve Banks. By increasing the interest rate on reserves, the Federal Reserve will be able to put significant upward pressure on all short-term interest rates. Actual and prospective increases in short-term interest rates will be reflected in turn in longer-term interest rates and in financial conditions more generally</w:t>
      </w:r>
      <w:r w:rsidR="00550E10" w:rsidRPr="005B7A97">
        <w:rPr>
          <w:rFonts w:asciiTheme="majorBidi" w:hAnsiTheme="majorBidi" w:cstheme="majorBidi"/>
          <w:color w:val="000000"/>
          <w:sz w:val="24"/>
          <w:szCs w:val="24"/>
        </w:rPr>
        <w:t>.</w:t>
      </w:r>
      <w:r w:rsidR="005B7A97" w:rsidRPr="005B7A97">
        <w:rPr>
          <w:rFonts w:asciiTheme="majorBidi" w:hAnsiTheme="majorBidi" w:cstheme="majorBidi"/>
          <w:color w:val="000000"/>
          <w:sz w:val="24"/>
          <w:szCs w:val="24"/>
        </w:rPr>
        <w:t>”</w:t>
      </w:r>
    </w:p>
    <w:p w:rsidR="007C077C" w:rsidRDefault="003F3F4B" w:rsidP="005D46C1">
      <w:pPr>
        <w:pStyle w:val="FootnoteText"/>
        <w:spacing w:after="100" w:afterAutospacing="1" w:line="360" w:lineRule="auto"/>
        <w:contextualSpacing/>
        <w:rPr>
          <w:rFonts w:asciiTheme="majorBidi" w:hAnsiTheme="majorBidi" w:cstheme="majorBidi"/>
          <w:color w:val="000000"/>
          <w:sz w:val="24"/>
          <w:szCs w:val="24"/>
        </w:rPr>
      </w:pPr>
      <w:r>
        <w:rPr>
          <w:rFonts w:asciiTheme="majorBidi" w:hAnsiTheme="majorBidi" w:cstheme="majorBidi"/>
          <w:color w:val="000000"/>
          <w:sz w:val="24"/>
          <w:szCs w:val="24"/>
        </w:rPr>
        <w:tab/>
      </w:r>
      <w:r w:rsidR="00121A31">
        <w:rPr>
          <w:rFonts w:asciiTheme="majorBidi" w:hAnsiTheme="majorBidi" w:cstheme="majorBidi"/>
          <w:color w:val="000000"/>
          <w:sz w:val="24"/>
          <w:szCs w:val="24"/>
        </w:rPr>
        <w:t xml:space="preserve">Thus </w:t>
      </w:r>
      <w:r>
        <w:rPr>
          <w:rFonts w:asciiTheme="majorBidi" w:hAnsiTheme="majorBidi" w:cstheme="majorBidi"/>
          <w:color w:val="000000"/>
          <w:sz w:val="24"/>
          <w:szCs w:val="24"/>
        </w:rPr>
        <w:t>exi</w:t>
      </w:r>
      <w:r w:rsidR="00121A31">
        <w:rPr>
          <w:rFonts w:asciiTheme="majorBidi" w:hAnsiTheme="majorBidi" w:cstheme="majorBidi"/>
          <w:color w:val="000000"/>
          <w:sz w:val="24"/>
          <w:szCs w:val="24"/>
        </w:rPr>
        <w:t xml:space="preserve">ting the recent period of extraordinary monetary expansion can be achieved, in principle, without </w:t>
      </w:r>
      <w:r>
        <w:rPr>
          <w:rFonts w:asciiTheme="majorBidi" w:hAnsiTheme="majorBidi" w:cstheme="majorBidi"/>
          <w:color w:val="000000"/>
          <w:sz w:val="24"/>
          <w:szCs w:val="24"/>
        </w:rPr>
        <w:t xml:space="preserve">any reduction in the large Fed’s </w:t>
      </w:r>
      <w:proofErr w:type="spellStart"/>
      <w:r>
        <w:rPr>
          <w:rFonts w:asciiTheme="majorBidi" w:hAnsiTheme="majorBidi" w:cstheme="majorBidi"/>
          <w:color w:val="000000"/>
          <w:sz w:val="24"/>
          <w:szCs w:val="24"/>
        </w:rPr>
        <w:t>portofolio</w:t>
      </w:r>
      <w:proofErr w:type="spellEnd"/>
      <w:r>
        <w:rPr>
          <w:rFonts w:asciiTheme="majorBidi" w:hAnsiTheme="majorBidi" w:cstheme="majorBidi"/>
          <w:color w:val="000000"/>
          <w:sz w:val="24"/>
          <w:szCs w:val="24"/>
        </w:rPr>
        <w:t xml:space="preserve"> accumulated during the six years between Lehman’s </w:t>
      </w:r>
      <w:proofErr w:type="spellStart"/>
      <w:r>
        <w:rPr>
          <w:rFonts w:asciiTheme="majorBidi" w:hAnsiTheme="majorBidi" w:cstheme="majorBidi"/>
          <w:color w:val="000000"/>
          <w:sz w:val="24"/>
          <w:szCs w:val="24"/>
        </w:rPr>
        <w:t>collapse.and</w:t>
      </w:r>
      <w:proofErr w:type="spellEnd"/>
      <w:r>
        <w:rPr>
          <w:rFonts w:asciiTheme="majorBidi" w:hAnsiTheme="majorBidi" w:cstheme="majorBidi"/>
          <w:color w:val="000000"/>
          <w:sz w:val="24"/>
          <w:szCs w:val="24"/>
        </w:rPr>
        <w:t xml:space="preserve"> October 2014. Furthermore, n</w:t>
      </w:r>
      <w:r w:rsidR="00AD5FE2">
        <w:rPr>
          <w:rFonts w:asciiTheme="majorBidi" w:hAnsiTheme="majorBidi" w:cstheme="majorBidi"/>
          <w:color w:val="000000"/>
          <w:sz w:val="24"/>
          <w:szCs w:val="24"/>
        </w:rPr>
        <w:t>eutralization of the potential inflationary impact of large excess reserves only by means of payment of interest on reserves is currently facilitated by the fa</w:t>
      </w:r>
      <w:r w:rsidR="00EB5408">
        <w:rPr>
          <w:rFonts w:asciiTheme="majorBidi" w:hAnsiTheme="majorBidi" w:cstheme="majorBidi"/>
          <w:color w:val="000000"/>
          <w:sz w:val="24"/>
          <w:szCs w:val="24"/>
        </w:rPr>
        <w:t>ct that new</w:t>
      </w:r>
      <w:r w:rsidR="005D46C1">
        <w:rPr>
          <w:rFonts w:asciiTheme="majorBidi" w:hAnsiTheme="majorBidi" w:cstheme="majorBidi"/>
          <w:color w:val="000000"/>
          <w:sz w:val="24"/>
          <w:szCs w:val="24"/>
        </w:rPr>
        <w:t>, post crisis,</w:t>
      </w:r>
      <w:r w:rsidR="00EB5408">
        <w:rPr>
          <w:rFonts w:asciiTheme="majorBidi" w:hAnsiTheme="majorBidi" w:cstheme="majorBidi"/>
          <w:color w:val="000000"/>
          <w:sz w:val="24"/>
          <w:szCs w:val="24"/>
        </w:rPr>
        <w:t xml:space="preserve"> regulations </w:t>
      </w:r>
      <w:r w:rsidR="005D46C1">
        <w:rPr>
          <w:rFonts w:asciiTheme="majorBidi" w:hAnsiTheme="majorBidi" w:cstheme="majorBidi"/>
          <w:color w:val="000000"/>
          <w:sz w:val="24"/>
          <w:szCs w:val="24"/>
        </w:rPr>
        <w:t>under Basel I</w:t>
      </w:r>
      <w:r>
        <w:rPr>
          <w:rFonts w:asciiTheme="majorBidi" w:hAnsiTheme="majorBidi" w:cstheme="majorBidi"/>
          <w:color w:val="000000"/>
          <w:sz w:val="24"/>
          <w:szCs w:val="24"/>
        </w:rPr>
        <w:t>II impose relatively more stringent</w:t>
      </w:r>
      <w:r w:rsidR="005D46C1">
        <w:rPr>
          <w:rFonts w:asciiTheme="majorBidi" w:hAnsiTheme="majorBidi" w:cstheme="majorBidi"/>
          <w:color w:val="000000"/>
          <w:sz w:val="24"/>
          <w:szCs w:val="24"/>
        </w:rPr>
        <w:t xml:space="preserve"> </w:t>
      </w:r>
      <w:proofErr w:type="gramStart"/>
      <w:r w:rsidR="005D46C1">
        <w:rPr>
          <w:rFonts w:asciiTheme="majorBidi" w:hAnsiTheme="majorBidi" w:cstheme="majorBidi"/>
          <w:color w:val="000000"/>
          <w:sz w:val="24"/>
          <w:szCs w:val="24"/>
        </w:rPr>
        <w:t>limitations  on</w:t>
      </w:r>
      <w:proofErr w:type="gramEnd"/>
      <w:r w:rsidR="005D46C1">
        <w:rPr>
          <w:rFonts w:asciiTheme="majorBidi" w:hAnsiTheme="majorBidi" w:cstheme="majorBidi"/>
          <w:color w:val="000000"/>
          <w:sz w:val="24"/>
          <w:szCs w:val="24"/>
        </w:rPr>
        <w:t xml:space="preserve"> the growth of banking credit than reserves</w:t>
      </w:r>
      <w:r>
        <w:rPr>
          <w:rFonts w:asciiTheme="majorBidi" w:hAnsiTheme="majorBidi" w:cstheme="majorBidi"/>
          <w:color w:val="000000"/>
          <w:sz w:val="24"/>
          <w:szCs w:val="24"/>
        </w:rPr>
        <w:t xml:space="preserve"> do</w:t>
      </w:r>
      <w:r w:rsidR="005D46C1">
        <w:rPr>
          <w:rFonts w:asciiTheme="majorBidi" w:hAnsiTheme="majorBidi" w:cstheme="majorBidi"/>
          <w:color w:val="000000"/>
          <w:sz w:val="24"/>
          <w:szCs w:val="24"/>
        </w:rPr>
        <w:t xml:space="preserve">. Those new regulations </w:t>
      </w:r>
      <w:proofErr w:type="gramStart"/>
      <w:r w:rsidR="005D46C1">
        <w:rPr>
          <w:rFonts w:asciiTheme="majorBidi" w:hAnsiTheme="majorBidi" w:cstheme="majorBidi"/>
          <w:color w:val="000000"/>
          <w:sz w:val="24"/>
          <w:szCs w:val="24"/>
        </w:rPr>
        <w:t>include</w:t>
      </w:r>
      <w:r w:rsidR="003D45DF">
        <w:rPr>
          <w:rFonts w:asciiTheme="majorBidi" w:hAnsiTheme="majorBidi" w:cstheme="majorBidi"/>
          <w:color w:val="000000"/>
          <w:sz w:val="24"/>
          <w:szCs w:val="24"/>
        </w:rPr>
        <w:t>,</w:t>
      </w:r>
      <w:proofErr w:type="gramEnd"/>
      <w:r w:rsidR="003D45DF">
        <w:rPr>
          <w:rFonts w:asciiTheme="majorBidi" w:hAnsiTheme="majorBidi" w:cstheme="majorBidi"/>
          <w:color w:val="000000"/>
          <w:sz w:val="24"/>
          <w:szCs w:val="24"/>
        </w:rPr>
        <w:t xml:space="preserve"> </w:t>
      </w:r>
      <w:proofErr w:type="spellStart"/>
      <w:r w:rsidR="003D45DF">
        <w:rPr>
          <w:rFonts w:asciiTheme="majorBidi" w:hAnsiTheme="majorBidi" w:cstheme="majorBidi"/>
          <w:color w:val="000000"/>
          <w:sz w:val="24"/>
          <w:szCs w:val="24"/>
        </w:rPr>
        <w:t>interalia</w:t>
      </w:r>
      <w:proofErr w:type="spellEnd"/>
      <w:r w:rsidR="003D45DF">
        <w:rPr>
          <w:rFonts w:asciiTheme="majorBidi" w:hAnsiTheme="majorBidi" w:cstheme="majorBidi"/>
          <w:color w:val="000000"/>
          <w:sz w:val="24"/>
          <w:szCs w:val="24"/>
        </w:rPr>
        <w:t>,</w:t>
      </w:r>
      <w:r w:rsidR="005D46C1">
        <w:rPr>
          <w:rFonts w:asciiTheme="majorBidi" w:hAnsiTheme="majorBidi" w:cstheme="majorBidi"/>
          <w:color w:val="000000"/>
          <w:sz w:val="24"/>
          <w:szCs w:val="24"/>
        </w:rPr>
        <w:t xml:space="preserve"> </w:t>
      </w:r>
      <w:r w:rsidR="003D45DF">
        <w:rPr>
          <w:rFonts w:asciiTheme="majorBidi" w:hAnsiTheme="majorBidi" w:cstheme="majorBidi"/>
          <w:color w:val="000000"/>
          <w:sz w:val="24"/>
          <w:szCs w:val="24"/>
        </w:rPr>
        <w:t xml:space="preserve">capital </w:t>
      </w:r>
      <w:r w:rsidR="003D45DF">
        <w:rPr>
          <w:rFonts w:asciiTheme="majorBidi" w:hAnsiTheme="majorBidi" w:cstheme="majorBidi"/>
          <w:color w:val="000000"/>
          <w:sz w:val="24"/>
          <w:szCs w:val="24"/>
        </w:rPr>
        <w:lastRenderedPageBreak/>
        <w:t>requirements, liquidity coverage ratios and net stable funding ratios for system</w:t>
      </w:r>
      <w:r w:rsidR="00147253">
        <w:rPr>
          <w:rFonts w:asciiTheme="majorBidi" w:hAnsiTheme="majorBidi" w:cstheme="majorBidi"/>
          <w:color w:val="000000"/>
          <w:sz w:val="24"/>
          <w:szCs w:val="24"/>
        </w:rPr>
        <w:t>i</w:t>
      </w:r>
      <w:r w:rsidR="003D45DF">
        <w:rPr>
          <w:rFonts w:asciiTheme="majorBidi" w:hAnsiTheme="majorBidi" w:cstheme="majorBidi"/>
          <w:color w:val="000000"/>
          <w:sz w:val="24"/>
          <w:szCs w:val="24"/>
        </w:rPr>
        <w:t xml:space="preserve">cally important financial institutions. </w:t>
      </w:r>
      <w:r w:rsidR="00147253">
        <w:rPr>
          <w:rFonts w:asciiTheme="majorBidi" w:hAnsiTheme="majorBidi" w:cstheme="majorBidi"/>
          <w:color w:val="000000"/>
          <w:sz w:val="24"/>
          <w:szCs w:val="24"/>
        </w:rPr>
        <w:t>The coming into being of this post-crisis regulatory package implies that, when the time comes, rates paid on reserves will not have to be increased by as much as they wo</w:t>
      </w:r>
      <w:r w:rsidR="00294D02">
        <w:rPr>
          <w:rFonts w:asciiTheme="majorBidi" w:hAnsiTheme="majorBidi" w:cstheme="majorBidi"/>
          <w:color w:val="000000"/>
          <w:sz w:val="24"/>
          <w:szCs w:val="24"/>
        </w:rPr>
        <w:t xml:space="preserve">uld have had </w:t>
      </w:r>
      <w:r w:rsidR="007C077C">
        <w:rPr>
          <w:rFonts w:asciiTheme="majorBidi" w:hAnsiTheme="majorBidi" w:cstheme="majorBidi"/>
          <w:color w:val="000000"/>
          <w:sz w:val="24"/>
          <w:szCs w:val="24"/>
        </w:rPr>
        <w:t>t</w:t>
      </w:r>
      <w:r w:rsidR="00147253">
        <w:rPr>
          <w:rFonts w:asciiTheme="majorBidi" w:hAnsiTheme="majorBidi" w:cstheme="majorBidi"/>
          <w:color w:val="000000"/>
          <w:sz w:val="24"/>
          <w:szCs w:val="24"/>
        </w:rPr>
        <w:t>o increase in the absence of this legislation.</w:t>
      </w:r>
      <w:r w:rsidR="007C077C">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p>
    <w:p w:rsidR="00AD5FE2" w:rsidRDefault="007C077C" w:rsidP="005D46C1">
      <w:pPr>
        <w:pStyle w:val="FootnoteText"/>
        <w:spacing w:after="100" w:afterAutospacing="1" w:line="360" w:lineRule="auto"/>
        <w:contextualSpacing/>
        <w:rPr>
          <w:rFonts w:asciiTheme="majorBidi" w:hAnsiTheme="majorBidi" w:cstheme="majorBidi"/>
          <w:color w:val="000000"/>
          <w:sz w:val="24"/>
          <w:szCs w:val="24"/>
        </w:rPr>
      </w:pPr>
      <w:r>
        <w:rPr>
          <w:rFonts w:asciiTheme="majorBidi" w:hAnsiTheme="majorBidi" w:cstheme="majorBidi"/>
          <w:color w:val="000000"/>
          <w:sz w:val="24"/>
          <w:szCs w:val="24"/>
        </w:rPr>
        <w:tab/>
        <w:t xml:space="preserve">In the latter part of his statement Bernanke does not exclude some combination of </w:t>
      </w:r>
      <w:r w:rsidR="0042261D">
        <w:rPr>
          <w:rFonts w:asciiTheme="majorBidi" w:hAnsiTheme="majorBidi" w:cstheme="majorBidi"/>
          <w:color w:val="000000"/>
          <w:sz w:val="24"/>
          <w:szCs w:val="24"/>
        </w:rPr>
        <w:t>higher</w:t>
      </w:r>
      <w:r>
        <w:rPr>
          <w:rFonts w:asciiTheme="majorBidi" w:hAnsiTheme="majorBidi" w:cstheme="majorBidi"/>
          <w:color w:val="000000"/>
          <w:sz w:val="24"/>
          <w:szCs w:val="24"/>
        </w:rPr>
        <w:t xml:space="preserve"> interest </w:t>
      </w:r>
      <w:r w:rsidR="0042261D">
        <w:rPr>
          <w:rFonts w:asciiTheme="majorBidi" w:hAnsiTheme="majorBidi" w:cstheme="majorBidi"/>
          <w:color w:val="000000"/>
          <w:sz w:val="24"/>
          <w:szCs w:val="24"/>
        </w:rPr>
        <w:t xml:space="preserve">payments </w:t>
      </w:r>
      <w:r>
        <w:rPr>
          <w:rFonts w:asciiTheme="majorBidi" w:hAnsiTheme="majorBidi" w:cstheme="majorBidi"/>
          <w:color w:val="000000"/>
          <w:sz w:val="24"/>
          <w:szCs w:val="24"/>
        </w:rPr>
        <w:t xml:space="preserve">on reserves </w:t>
      </w:r>
      <w:r w:rsidR="003E117D">
        <w:rPr>
          <w:rFonts w:asciiTheme="majorBidi" w:hAnsiTheme="majorBidi" w:cstheme="majorBidi"/>
          <w:color w:val="000000"/>
          <w:sz w:val="24"/>
          <w:szCs w:val="24"/>
        </w:rPr>
        <w:t xml:space="preserve">along with </w:t>
      </w:r>
      <w:r>
        <w:rPr>
          <w:rFonts w:asciiTheme="majorBidi" w:hAnsiTheme="majorBidi" w:cstheme="majorBidi"/>
          <w:color w:val="000000"/>
          <w:sz w:val="24"/>
          <w:szCs w:val="24"/>
        </w:rPr>
        <w:t>absorption of liquidity by means of reverse re</w:t>
      </w:r>
      <w:r w:rsidR="00C009B2">
        <w:rPr>
          <w:rFonts w:asciiTheme="majorBidi" w:hAnsiTheme="majorBidi" w:cstheme="majorBidi"/>
          <w:color w:val="000000"/>
          <w:sz w:val="24"/>
          <w:szCs w:val="24"/>
        </w:rPr>
        <w:t xml:space="preserve">pos and more traditional open market sales. Since both policies induce an increase in interest rates they would appear to be equivalent at first blush. But their distributional consequences are likely to differ. </w:t>
      </w:r>
      <w:r w:rsidR="003E117D">
        <w:rPr>
          <w:rFonts w:asciiTheme="majorBidi" w:hAnsiTheme="majorBidi" w:cstheme="majorBidi"/>
          <w:color w:val="000000"/>
          <w:sz w:val="24"/>
          <w:szCs w:val="24"/>
        </w:rPr>
        <w:t xml:space="preserve">The primary effect of raising interest on banking reserves is to limit the growth of banking credit. By contrast the primary effect of open market sales of bonds is to raise the cost of </w:t>
      </w:r>
      <w:r w:rsidR="0018147C">
        <w:rPr>
          <w:rFonts w:asciiTheme="majorBidi" w:hAnsiTheme="majorBidi" w:cstheme="majorBidi"/>
          <w:color w:val="000000"/>
          <w:sz w:val="24"/>
          <w:szCs w:val="24"/>
        </w:rPr>
        <w:t xml:space="preserve">borrowing on </w:t>
      </w:r>
      <w:r w:rsidR="003E117D">
        <w:rPr>
          <w:rFonts w:asciiTheme="majorBidi" w:hAnsiTheme="majorBidi" w:cstheme="majorBidi"/>
          <w:color w:val="000000"/>
          <w:sz w:val="24"/>
          <w:szCs w:val="24"/>
        </w:rPr>
        <w:t>the capital market. Since large corporations obtain a larger fraction of their financing needs from the capital market while small businesses rely relatively more on banking credit</w:t>
      </w:r>
      <w:r w:rsidR="0018147C">
        <w:rPr>
          <w:rFonts w:asciiTheme="majorBidi" w:hAnsiTheme="majorBidi" w:cstheme="majorBidi"/>
          <w:color w:val="000000"/>
          <w:sz w:val="24"/>
          <w:szCs w:val="24"/>
        </w:rPr>
        <w:t xml:space="preserve"> the choice of “tapering” instrument affects the relative extent of credit tightening to large corporations relatively to small businesses. </w:t>
      </w:r>
    </w:p>
    <w:p w:rsidR="007C293E" w:rsidRPr="003B0A3E" w:rsidRDefault="002E4A81" w:rsidP="003B0A3E">
      <w:pPr>
        <w:pStyle w:val="FootnoteText"/>
        <w:spacing w:after="100" w:afterAutospacing="1" w:line="360" w:lineRule="auto"/>
        <w:rPr>
          <w:rFonts w:asciiTheme="majorBidi" w:hAnsiTheme="majorBidi" w:cstheme="majorBidi"/>
          <w:color w:val="000000"/>
          <w:sz w:val="24"/>
          <w:szCs w:val="24"/>
        </w:rPr>
      </w:pPr>
      <w:r>
        <w:rPr>
          <w:rFonts w:asciiTheme="majorBidi" w:hAnsiTheme="majorBidi" w:cstheme="majorBidi"/>
          <w:color w:val="000000"/>
          <w:sz w:val="24"/>
          <w:szCs w:val="24"/>
        </w:rPr>
        <w:tab/>
      </w:r>
      <w:r w:rsidR="00D604BE">
        <w:rPr>
          <w:rFonts w:asciiTheme="majorBidi" w:hAnsiTheme="majorBidi" w:cstheme="majorBidi"/>
          <w:color w:val="000000"/>
          <w:sz w:val="24"/>
          <w:szCs w:val="24"/>
        </w:rPr>
        <w:t>W</w:t>
      </w:r>
      <w:r>
        <w:rPr>
          <w:rFonts w:asciiTheme="majorBidi" w:hAnsiTheme="majorBidi" w:cstheme="majorBidi"/>
          <w:color w:val="000000"/>
          <w:sz w:val="24"/>
          <w:szCs w:val="24"/>
        </w:rPr>
        <w:t xml:space="preserve">hat </w:t>
      </w:r>
      <w:r w:rsidR="00FC040C">
        <w:rPr>
          <w:rFonts w:asciiTheme="majorBidi" w:hAnsiTheme="majorBidi" w:cstheme="majorBidi"/>
          <w:color w:val="000000"/>
          <w:sz w:val="24"/>
          <w:szCs w:val="24"/>
        </w:rPr>
        <w:t xml:space="preserve">are the indicators one should look at in order to decide on the timing and the dosage of tightening? </w:t>
      </w:r>
      <w:r w:rsidR="00D604BE">
        <w:rPr>
          <w:rFonts w:asciiTheme="majorBidi" w:hAnsiTheme="majorBidi" w:cstheme="majorBidi"/>
          <w:color w:val="000000"/>
          <w:sz w:val="24"/>
          <w:szCs w:val="24"/>
        </w:rPr>
        <w:t xml:space="preserve">The most obvious </w:t>
      </w:r>
      <w:r w:rsidR="00FC040C">
        <w:rPr>
          <w:rFonts w:asciiTheme="majorBidi" w:hAnsiTheme="majorBidi" w:cstheme="majorBidi"/>
          <w:color w:val="000000"/>
          <w:sz w:val="24"/>
          <w:szCs w:val="24"/>
        </w:rPr>
        <w:t>candidates are</w:t>
      </w:r>
      <w:r w:rsidR="00D604BE">
        <w:rPr>
          <w:rFonts w:asciiTheme="majorBidi" w:hAnsiTheme="majorBidi" w:cstheme="majorBidi"/>
          <w:color w:val="000000"/>
          <w:sz w:val="24"/>
          <w:szCs w:val="24"/>
        </w:rPr>
        <w:t xml:space="preserve"> the rate of inflation itself and economic activity. The evidence presented in this paper implies that, in order to evaluate the risks </w:t>
      </w:r>
      <w:r w:rsidR="002D07CB">
        <w:rPr>
          <w:rFonts w:asciiTheme="majorBidi" w:hAnsiTheme="majorBidi" w:cstheme="majorBidi"/>
          <w:color w:val="000000"/>
          <w:sz w:val="24"/>
          <w:szCs w:val="24"/>
        </w:rPr>
        <w:t>of a pickup in inflation</w:t>
      </w:r>
      <w:r w:rsidR="00D604BE">
        <w:rPr>
          <w:rFonts w:asciiTheme="majorBidi" w:hAnsiTheme="majorBidi" w:cstheme="majorBidi"/>
          <w:color w:val="000000"/>
          <w:sz w:val="24"/>
          <w:szCs w:val="24"/>
        </w:rPr>
        <w:t xml:space="preserve"> one should also look at the behavior of banking credit aggregate</w:t>
      </w:r>
      <w:r w:rsidR="002D07CB">
        <w:rPr>
          <w:rFonts w:asciiTheme="majorBidi" w:hAnsiTheme="majorBidi" w:cstheme="majorBidi"/>
          <w:color w:val="000000"/>
          <w:sz w:val="24"/>
          <w:szCs w:val="24"/>
        </w:rPr>
        <w:t xml:space="preserve">s, </w:t>
      </w:r>
      <w:r w:rsidR="00D604BE">
        <w:rPr>
          <w:rFonts w:asciiTheme="majorBidi" w:hAnsiTheme="majorBidi" w:cstheme="majorBidi"/>
          <w:color w:val="000000"/>
          <w:sz w:val="24"/>
          <w:szCs w:val="24"/>
        </w:rPr>
        <w:t xml:space="preserve">new issues </w:t>
      </w:r>
      <w:r w:rsidR="002D07CB">
        <w:rPr>
          <w:rFonts w:asciiTheme="majorBidi" w:hAnsiTheme="majorBidi" w:cstheme="majorBidi"/>
          <w:color w:val="000000"/>
          <w:sz w:val="24"/>
          <w:szCs w:val="24"/>
        </w:rPr>
        <w:t xml:space="preserve">of bonds as well as monetary aggregates such as M1 and M2. </w:t>
      </w:r>
      <w:r w:rsidR="00D604BE">
        <w:rPr>
          <w:rFonts w:asciiTheme="majorBidi" w:hAnsiTheme="majorBidi" w:cstheme="majorBidi"/>
          <w:color w:val="000000"/>
          <w:sz w:val="24"/>
          <w:szCs w:val="24"/>
        </w:rPr>
        <w:t xml:space="preserve">  </w:t>
      </w:r>
    </w:p>
    <w:p w:rsidR="00545CE3" w:rsidRDefault="00D61087" w:rsidP="00545CE3">
      <w:pPr>
        <w:contextualSpacing/>
        <w:rPr>
          <w:rFonts w:asciiTheme="majorBidi" w:hAnsiTheme="majorBidi" w:cstheme="majorBidi"/>
          <w:b/>
          <w:bCs/>
          <w:sz w:val="28"/>
          <w:szCs w:val="28"/>
        </w:rPr>
      </w:pPr>
      <w:r>
        <w:rPr>
          <w:rFonts w:asciiTheme="majorBidi" w:hAnsiTheme="majorBidi" w:cstheme="majorBidi"/>
          <w:b/>
          <w:bCs/>
          <w:sz w:val="28"/>
          <w:szCs w:val="28"/>
        </w:rPr>
        <w:tab/>
      </w:r>
      <w:r w:rsidR="00F64BC4">
        <w:rPr>
          <w:rFonts w:asciiTheme="majorBidi" w:hAnsiTheme="majorBidi" w:cstheme="majorBidi"/>
          <w:b/>
          <w:bCs/>
          <w:sz w:val="28"/>
          <w:szCs w:val="28"/>
        </w:rPr>
        <w:t>8</w:t>
      </w:r>
      <w:r w:rsidR="007F34A6">
        <w:rPr>
          <w:rFonts w:asciiTheme="majorBidi" w:hAnsiTheme="majorBidi" w:cstheme="majorBidi"/>
          <w:b/>
          <w:bCs/>
          <w:sz w:val="28"/>
          <w:szCs w:val="28"/>
        </w:rPr>
        <w:t>. Concluding remarks</w:t>
      </w:r>
    </w:p>
    <w:p w:rsidR="00344773" w:rsidRPr="006F7390" w:rsidRDefault="007F34A6" w:rsidP="00545CE3">
      <w:pPr>
        <w:rPr>
          <w:rFonts w:asciiTheme="majorBidi" w:hAnsiTheme="majorBidi" w:cstheme="majorBidi"/>
          <w:b/>
          <w:bCs/>
          <w:sz w:val="28"/>
          <w:szCs w:val="28"/>
        </w:rPr>
      </w:pPr>
      <w:r>
        <w:rPr>
          <w:rFonts w:asciiTheme="majorBidi" w:hAnsiTheme="majorBidi" w:cstheme="majorBidi"/>
          <w:sz w:val="24"/>
          <w:szCs w:val="24"/>
        </w:rPr>
        <w:t xml:space="preserve">There are several lessons from the discussion in this paper. First bursts of optimism and pessimism that have been attributed to “animal spirits” by Keynes and, more recently, by </w:t>
      </w:r>
      <w:proofErr w:type="spellStart"/>
      <w:r>
        <w:rPr>
          <w:rFonts w:asciiTheme="majorBidi" w:hAnsiTheme="majorBidi" w:cstheme="majorBidi"/>
          <w:sz w:val="24"/>
          <w:szCs w:val="24"/>
        </w:rPr>
        <w:t>Akerlof</w:t>
      </w:r>
      <w:proofErr w:type="spellEnd"/>
      <w:r>
        <w:rPr>
          <w:rFonts w:asciiTheme="majorBidi" w:hAnsiTheme="majorBidi" w:cstheme="majorBidi"/>
          <w:sz w:val="24"/>
          <w:szCs w:val="24"/>
        </w:rPr>
        <w:t xml:space="preserve"> and Shiller (2009) can in some cases be related to major public events. Th</w:t>
      </w:r>
      <w:r w:rsidR="008D207C">
        <w:rPr>
          <w:rFonts w:asciiTheme="majorBidi" w:hAnsiTheme="majorBidi" w:cstheme="majorBidi"/>
          <w:sz w:val="24"/>
          <w:szCs w:val="24"/>
        </w:rPr>
        <w:t>e collapse of Lehman Brothers and the rescue of Bear-Stern</w:t>
      </w:r>
      <w:r>
        <w:rPr>
          <w:rFonts w:asciiTheme="majorBidi" w:hAnsiTheme="majorBidi" w:cstheme="majorBidi"/>
          <w:sz w:val="24"/>
          <w:szCs w:val="24"/>
        </w:rPr>
        <w:t xml:space="preserve"> a</w:t>
      </w:r>
      <w:r w:rsidR="008D207C">
        <w:rPr>
          <w:rFonts w:asciiTheme="majorBidi" w:hAnsiTheme="majorBidi" w:cstheme="majorBidi"/>
          <w:sz w:val="24"/>
          <w:szCs w:val="24"/>
        </w:rPr>
        <w:t>re</w:t>
      </w:r>
      <w:r>
        <w:rPr>
          <w:rFonts w:asciiTheme="majorBidi" w:hAnsiTheme="majorBidi" w:cstheme="majorBidi"/>
          <w:sz w:val="24"/>
          <w:szCs w:val="24"/>
        </w:rPr>
        <w:t xml:space="preserve"> </w:t>
      </w:r>
      <w:proofErr w:type="gramStart"/>
      <w:r>
        <w:rPr>
          <w:rFonts w:asciiTheme="majorBidi" w:hAnsiTheme="majorBidi" w:cstheme="majorBidi"/>
          <w:sz w:val="24"/>
          <w:szCs w:val="24"/>
        </w:rPr>
        <w:t>resounding</w:t>
      </w:r>
      <w:proofErr w:type="gramEnd"/>
      <w:r>
        <w:rPr>
          <w:rFonts w:asciiTheme="majorBidi" w:hAnsiTheme="majorBidi" w:cstheme="majorBidi"/>
          <w:sz w:val="24"/>
          <w:szCs w:val="24"/>
        </w:rPr>
        <w:t xml:space="preserve"> such case</w:t>
      </w:r>
      <w:r w:rsidR="008D207C">
        <w:rPr>
          <w:rFonts w:asciiTheme="majorBidi" w:hAnsiTheme="majorBidi" w:cstheme="majorBidi"/>
          <w:sz w:val="24"/>
          <w:szCs w:val="24"/>
        </w:rPr>
        <w:t>s. They</w:t>
      </w:r>
      <w:r>
        <w:rPr>
          <w:rFonts w:asciiTheme="majorBidi" w:hAnsiTheme="majorBidi" w:cstheme="majorBidi"/>
          <w:sz w:val="24"/>
          <w:szCs w:val="24"/>
        </w:rPr>
        <w:t xml:space="preserve"> led financial markets participants to reevaluate their prior beliefs about the possible set of bailout probabilities in a more pessimistic direction thereby increasing both bailout uncertainty and most likely their probabilistic awareness of low bailout probabilities. </w:t>
      </w:r>
    </w:p>
    <w:p w:rsidR="0053632A" w:rsidRDefault="00344773" w:rsidP="0053632A">
      <w:pPr>
        <w:spacing w:after="0"/>
        <w:jc w:val="both"/>
        <w:rPr>
          <w:rFonts w:asciiTheme="majorBidi" w:hAnsiTheme="majorBidi" w:cstheme="majorBidi"/>
          <w:sz w:val="24"/>
          <w:szCs w:val="24"/>
        </w:rPr>
      </w:pPr>
      <w:r>
        <w:rPr>
          <w:rFonts w:asciiTheme="majorBidi" w:hAnsiTheme="majorBidi" w:cstheme="majorBidi"/>
          <w:sz w:val="24"/>
          <w:szCs w:val="24"/>
        </w:rPr>
        <w:lastRenderedPageBreak/>
        <w:tab/>
      </w:r>
      <w:r w:rsidR="007F34A6">
        <w:rPr>
          <w:rFonts w:asciiTheme="majorBidi" w:hAnsiTheme="majorBidi" w:cstheme="majorBidi"/>
          <w:sz w:val="24"/>
          <w:szCs w:val="24"/>
        </w:rPr>
        <w:t xml:space="preserve">Although the subsequent actions </w:t>
      </w:r>
      <w:r>
        <w:rPr>
          <w:rFonts w:asciiTheme="majorBidi" w:hAnsiTheme="majorBidi" w:cstheme="majorBidi"/>
          <w:sz w:val="24"/>
          <w:szCs w:val="24"/>
        </w:rPr>
        <w:t>of US policymakers might have reduced this</w:t>
      </w:r>
      <w:r w:rsidR="003B0A3E">
        <w:rPr>
          <w:rFonts w:asciiTheme="majorBidi" w:hAnsiTheme="majorBidi" w:cstheme="majorBidi"/>
          <w:sz w:val="24"/>
          <w:szCs w:val="24"/>
        </w:rPr>
        <w:t xml:space="preserve"> uncertainty after a while, the </w:t>
      </w:r>
      <w:r>
        <w:rPr>
          <w:rFonts w:asciiTheme="majorBidi" w:hAnsiTheme="majorBidi" w:cstheme="majorBidi"/>
          <w:sz w:val="24"/>
          <w:szCs w:val="24"/>
        </w:rPr>
        <w:t>trau</w:t>
      </w:r>
      <w:r w:rsidR="00EE4BB4">
        <w:rPr>
          <w:rFonts w:asciiTheme="majorBidi" w:hAnsiTheme="majorBidi" w:cstheme="majorBidi"/>
          <w:sz w:val="24"/>
          <w:szCs w:val="24"/>
        </w:rPr>
        <w:t>matic probabilistic awareness to</w:t>
      </w:r>
      <w:r>
        <w:rPr>
          <w:rFonts w:asciiTheme="majorBidi" w:hAnsiTheme="majorBidi" w:cstheme="majorBidi"/>
          <w:sz w:val="24"/>
          <w:szCs w:val="24"/>
        </w:rPr>
        <w:t xml:space="preserve"> the existence of low bailout prob</w:t>
      </w:r>
      <w:r w:rsidR="00EE4BB4">
        <w:rPr>
          <w:rFonts w:asciiTheme="majorBidi" w:hAnsiTheme="majorBidi" w:cstheme="majorBidi"/>
          <w:sz w:val="24"/>
          <w:szCs w:val="24"/>
        </w:rPr>
        <w:t xml:space="preserve">abilities </w:t>
      </w:r>
      <w:r>
        <w:rPr>
          <w:rFonts w:asciiTheme="majorBidi" w:hAnsiTheme="majorBidi" w:cstheme="majorBidi"/>
          <w:sz w:val="24"/>
          <w:szCs w:val="24"/>
        </w:rPr>
        <w:t>is</w:t>
      </w:r>
      <w:r w:rsidR="00CA716A">
        <w:rPr>
          <w:rFonts w:asciiTheme="majorBidi" w:hAnsiTheme="majorBidi" w:cstheme="majorBidi"/>
          <w:sz w:val="24"/>
          <w:szCs w:val="24"/>
        </w:rPr>
        <w:t xml:space="preserve"> </w:t>
      </w:r>
      <w:r>
        <w:rPr>
          <w:rFonts w:asciiTheme="majorBidi" w:hAnsiTheme="majorBidi" w:cstheme="majorBidi"/>
          <w:sz w:val="24"/>
          <w:szCs w:val="24"/>
        </w:rPr>
        <w:t>likely</w:t>
      </w:r>
      <w:r w:rsidR="00CA716A">
        <w:rPr>
          <w:rFonts w:asciiTheme="majorBidi" w:hAnsiTheme="majorBidi" w:cstheme="majorBidi"/>
          <w:sz w:val="24"/>
          <w:szCs w:val="24"/>
        </w:rPr>
        <w:t xml:space="preserve"> to be </w:t>
      </w:r>
      <w:r w:rsidR="003B0A3E">
        <w:rPr>
          <w:rFonts w:asciiTheme="majorBidi" w:hAnsiTheme="majorBidi" w:cstheme="majorBidi"/>
          <w:sz w:val="24"/>
          <w:szCs w:val="24"/>
        </w:rPr>
        <w:t>more persistent.</w:t>
      </w:r>
      <w:r w:rsidR="00CB048B">
        <w:rPr>
          <w:rFonts w:asciiTheme="majorBidi" w:hAnsiTheme="majorBidi" w:cstheme="majorBidi"/>
          <w:sz w:val="24"/>
          <w:szCs w:val="24"/>
        </w:rPr>
        <w:t xml:space="preserve"> Those persistent memories along with regulatory tightening of banking regulation triggered by the crisis extended the </w:t>
      </w:r>
      <w:r w:rsidR="003B0A3E">
        <w:rPr>
          <w:rFonts w:asciiTheme="majorBidi" w:hAnsiTheme="majorBidi" w:cstheme="majorBidi"/>
          <w:sz w:val="24"/>
          <w:szCs w:val="24"/>
        </w:rPr>
        <w:t xml:space="preserve">slowdown in </w:t>
      </w:r>
      <w:r w:rsidR="00CB048B">
        <w:rPr>
          <w:rFonts w:asciiTheme="majorBidi" w:hAnsiTheme="majorBidi" w:cstheme="majorBidi"/>
          <w:sz w:val="24"/>
          <w:szCs w:val="24"/>
        </w:rPr>
        <w:t xml:space="preserve">banking </w:t>
      </w:r>
      <w:r w:rsidR="003B0A3E">
        <w:rPr>
          <w:rFonts w:asciiTheme="majorBidi" w:hAnsiTheme="majorBidi" w:cstheme="majorBidi"/>
          <w:sz w:val="24"/>
          <w:szCs w:val="24"/>
        </w:rPr>
        <w:t xml:space="preserve">credit </w:t>
      </w:r>
      <w:r w:rsidR="00CB048B">
        <w:rPr>
          <w:rFonts w:asciiTheme="majorBidi" w:hAnsiTheme="majorBidi" w:cstheme="majorBidi"/>
          <w:sz w:val="24"/>
          <w:szCs w:val="24"/>
        </w:rPr>
        <w:t xml:space="preserve">growth much beyond the Lehman’s trigger and induced banks to behave substantially more cautiously than prior to the crisis. </w:t>
      </w:r>
      <w:r w:rsidR="003B0A3E">
        <w:rPr>
          <w:rFonts w:asciiTheme="majorBidi" w:hAnsiTheme="majorBidi" w:cstheme="majorBidi"/>
          <w:sz w:val="24"/>
          <w:szCs w:val="24"/>
        </w:rPr>
        <w:t xml:space="preserve"> </w:t>
      </w:r>
      <w:r w:rsidR="00CA716A">
        <w:rPr>
          <w:rFonts w:asciiTheme="majorBidi" w:hAnsiTheme="majorBidi" w:cstheme="majorBidi"/>
          <w:sz w:val="24"/>
          <w:szCs w:val="24"/>
        </w:rPr>
        <w:t>A</w:t>
      </w:r>
      <w:r w:rsidR="00FE670C">
        <w:rPr>
          <w:rFonts w:asciiTheme="majorBidi" w:hAnsiTheme="majorBidi" w:cstheme="majorBidi"/>
          <w:sz w:val="24"/>
          <w:szCs w:val="24"/>
        </w:rPr>
        <w:t xml:space="preserve"> </w:t>
      </w:r>
      <w:proofErr w:type="gramStart"/>
      <w:r w:rsidR="0099423C">
        <w:rPr>
          <w:rFonts w:asciiTheme="majorBidi" w:hAnsiTheme="majorBidi" w:cstheme="majorBidi"/>
          <w:sz w:val="24"/>
          <w:szCs w:val="24"/>
        </w:rPr>
        <w:t>con</w:t>
      </w:r>
      <w:r w:rsidR="00EE4BB4">
        <w:rPr>
          <w:rFonts w:asciiTheme="majorBidi" w:hAnsiTheme="majorBidi" w:cstheme="majorBidi"/>
          <w:sz w:val="24"/>
          <w:szCs w:val="24"/>
        </w:rPr>
        <w:t>sequences</w:t>
      </w:r>
      <w:proofErr w:type="gramEnd"/>
      <w:r w:rsidR="00EE4BB4">
        <w:rPr>
          <w:rFonts w:asciiTheme="majorBidi" w:hAnsiTheme="majorBidi" w:cstheme="majorBidi"/>
          <w:sz w:val="24"/>
          <w:szCs w:val="24"/>
        </w:rPr>
        <w:t xml:space="preserve"> of this cautious </w:t>
      </w:r>
      <w:r w:rsidR="0099423C">
        <w:rPr>
          <w:rFonts w:asciiTheme="majorBidi" w:hAnsiTheme="majorBidi" w:cstheme="majorBidi"/>
          <w:sz w:val="24"/>
          <w:szCs w:val="24"/>
        </w:rPr>
        <w:t>be</w:t>
      </w:r>
      <w:r w:rsidR="002A1DF3">
        <w:rPr>
          <w:rFonts w:asciiTheme="majorBidi" w:hAnsiTheme="majorBidi" w:cstheme="majorBidi"/>
          <w:sz w:val="24"/>
          <w:szCs w:val="24"/>
        </w:rPr>
        <w:t>havior</w:t>
      </w:r>
      <w:r w:rsidR="00CB048B">
        <w:rPr>
          <w:rFonts w:asciiTheme="majorBidi" w:hAnsiTheme="majorBidi" w:cstheme="majorBidi"/>
          <w:sz w:val="24"/>
          <w:szCs w:val="24"/>
        </w:rPr>
        <w:t xml:space="preserve"> </w:t>
      </w:r>
      <w:r w:rsidR="00CA716A">
        <w:rPr>
          <w:rFonts w:asciiTheme="majorBidi" w:hAnsiTheme="majorBidi" w:cstheme="majorBidi"/>
          <w:sz w:val="24"/>
          <w:szCs w:val="24"/>
        </w:rPr>
        <w:t xml:space="preserve">is that </w:t>
      </w:r>
      <w:r w:rsidR="00CB048B">
        <w:rPr>
          <w:rFonts w:asciiTheme="majorBidi" w:hAnsiTheme="majorBidi" w:cstheme="majorBidi"/>
          <w:sz w:val="24"/>
          <w:szCs w:val="24"/>
        </w:rPr>
        <w:t>only a</w:t>
      </w:r>
      <w:r w:rsidR="00EE4BB4">
        <w:rPr>
          <w:rFonts w:asciiTheme="majorBidi" w:hAnsiTheme="majorBidi" w:cstheme="majorBidi"/>
          <w:sz w:val="24"/>
          <w:szCs w:val="24"/>
        </w:rPr>
        <w:t xml:space="preserve"> fraction</w:t>
      </w:r>
      <w:r w:rsidR="0099423C">
        <w:rPr>
          <w:rFonts w:asciiTheme="majorBidi" w:hAnsiTheme="majorBidi" w:cstheme="majorBidi"/>
          <w:sz w:val="24"/>
          <w:szCs w:val="24"/>
        </w:rPr>
        <w:t xml:space="preserve"> of the huge quantitative easing operations of the Fed </w:t>
      </w:r>
      <w:r w:rsidR="00CA716A">
        <w:rPr>
          <w:rFonts w:asciiTheme="majorBidi" w:hAnsiTheme="majorBidi" w:cstheme="majorBidi"/>
          <w:sz w:val="24"/>
          <w:szCs w:val="24"/>
        </w:rPr>
        <w:t xml:space="preserve">were </w:t>
      </w:r>
      <w:r w:rsidR="0053632A">
        <w:rPr>
          <w:rFonts w:asciiTheme="majorBidi" w:hAnsiTheme="majorBidi" w:cstheme="majorBidi"/>
          <w:sz w:val="24"/>
          <w:szCs w:val="24"/>
        </w:rPr>
        <w:t xml:space="preserve">transmitted to an increase in banking credit. </w:t>
      </w:r>
    </w:p>
    <w:p w:rsidR="0053632A" w:rsidRDefault="0053632A" w:rsidP="0053632A">
      <w:pPr>
        <w:spacing w:after="0"/>
        <w:jc w:val="both"/>
        <w:rPr>
          <w:rFonts w:asciiTheme="majorBidi" w:hAnsiTheme="majorBidi" w:cstheme="majorBidi"/>
          <w:sz w:val="24"/>
          <w:szCs w:val="24"/>
        </w:rPr>
      </w:pPr>
      <w:r>
        <w:rPr>
          <w:rFonts w:asciiTheme="majorBidi" w:hAnsiTheme="majorBidi" w:cstheme="majorBidi"/>
          <w:sz w:val="24"/>
          <w:szCs w:val="24"/>
        </w:rPr>
        <w:tab/>
        <w:t>During the five to six years following Lehman’s collapse total net new (</w:t>
      </w:r>
      <w:proofErr w:type="spellStart"/>
      <w:r>
        <w:rPr>
          <w:rFonts w:asciiTheme="majorBidi" w:hAnsiTheme="majorBidi" w:cstheme="majorBidi"/>
          <w:sz w:val="24"/>
          <w:szCs w:val="24"/>
        </w:rPr>
        <w:t>non treasury</w:t>
      </w:r>
      <w:proofErr w:type="spellEnd"/>
      <w:r>
        <w:rPr>
          <w:rFonts w:asciiTheme="majorBidi" w:hAnsiTheme="majorBidi" w:cstheme="majorBidi"/>
          <w:sz w:val="24"/>
          <w:szCs w:val="24"/>
        </w:rPr>
        <w:t>) bond issues practically disappeared due mainly to the collapse in mortgage related and asset backed bonds. This tendency was partially offset by a vigorous increase in net new issues of corporate bonds</w:t>
      </w:r>
      <w:r w:rsidR="00091581">
        <w:rPr>
          <w:rFonts w:asciiTheme="majorBidi" w:hAnsiTheme="majorBidi" w:cstheme="majorBidi"/>
          <w:sz w:val="24"/>
          <w:szCs w:val="24"/>
        </w:rPr>
        <w:t xml:space="preserve">. </w:t>
      </w:r>
      <w:r>
        <w:rPr>
          <w:rFonts w:asciiTheme="majorBidi" w:hAnsiTheme="majorBidi" w:cstheme="majorBidi"/>
          <w:sz w:val="24"/>
          <w:szCs w:val="24"/>
        </w:rPr>
        <w:t>T</w:t>
      </w:r>
      <w:r w:rsidR="00091581">
        <w:rPr>
          <w:rFonts w:asciiTheme="majorBidi" w:hAnsiTheme="majorBidi" w:cstheme="majorBidi"/>
          <w:sz w:val="24"/>
          <w:szCs w:val="24"/>
        </w:rPr>
        <w:t>he paper conjectures</w:t>
      </w:r>
      <w:r>
        <w:rPr>
          <w:rFonts w:asciiTheme="majorBidi" w:hAnsiTheme="majorBidi" w:cstheme="majorBidi"/>
          <w:sz w:val="24"/>
          <w:szCs w:val="24"/>
        </w:rPr>
        <w:t xml:space="preserve"> that </w:t>
      </w:r>
      <w:r w:rsidR="00091581">
        <w:rPr>
          <w:rFonts w:asciiTheme="majorBidi" w:hAnsiTheme="majorBidi" w:cstheme="majorBidi"/>
          <w:sz w:val="24"/>
          <w:szCs w:val="24"/>
        </w:rPr>
        <w:t xml:space="preserve">bond investors did not put a high mass on the probability of bailouts of </w:t>
      </w:r>
      <w:proofErr w:type="spellStart"/>
      <w:r w:rsidR="00091581">
        <w:rPr>
          <w:rFonts w:asciiTheme="majorBidi" w:hAnsiTheme="majorBidi" w:cstheme="majorBidi"/>
          <w:sz w:val="24"/>
          <w:szCs w:val="24"/>
        </w:rPr>
        <w:t>non financial</w:t>
      </w:r>
      <w:proofErr w:type="spellEnd"/>
      <w:r w:rsidR="00091581">
        <w:rPr>
          <w:rFonts w:asciiTheme="majorBidi" w:hAnsiTheme="majorBidi" w:cstheme="majorBidi"/>
          <w:sz w:val="24"/>
          <w:szCs w:val="24"/>
        </w:rPr>
        <w:t xml:space="preserve"> institutions in the first place and that this mass did not shift appreciably following Lehman’s collapse. As a consequence </w:t>
      </w:r>
      <w:r w:rsidR="0004506E">
        <w:rPr>
          <w:rFonts w:asciiTheme="majorBidi" w:hAnsiTheme="majorBidi" w:cstheme="majorBidi"/>
          <w:sz w:val="24"/>
          <w:szCs w:val="24"/>
        </w:rPr>
        <w:t>c</w:t>
      </w:r>
      <w:r w:rsidR="00091581">
        <w:rPr>
          <w:rFonts w:asciiTheme="majorBidi" w:hAnsiTheme="majorBidi" w:cstheme="majorBidi"/>
          <w:sz w:val="24"/>
          <w:szCs w:val="24"/>
        </w:rPr>
        <w:t xml:space="preserve">orporate bonds became relatively more attractive to pension and mutual </w:t>
      </w:r>
      <w:proofErr w:type="gramStart"/>
      <w:r w:rsidR="00091581">
        <w:rPr>
          <w:rFonts w:asciiTheme="majorBidi" w:hAnsiTheme="majorBidi" w:cstheme="majorBidi"/>
          <w:sz w:val="24"/>
          <w:szCs w:val="24"/>
        </w:rPr>
        <w:t>funds  following</w:t>
      </w:r>
      <w:proofErr w:type="gramEnd"/>
      <w:r w:rsidR="00091581">
        <w:rPr>
          <w:rFonts w:asciiTheme="majorBidi" w:hAnsiTheme="majorBidi" w:cstheme="majorBidi"/>
          <w:sz w:val="24"/>
          <w:szCs w:val="24"/>
        </w:rPr>
        <w:t xml:space="preserve"> the collapse. In addition the overall demand for good quality bonds was kept afloat by the quantitative easing operations of the Fed.  </w:t>
      </w:r>
    </w:p>
    <w:p w:rsidR="006F7390" w:rsidRDefault="00FE670C" w:rsidP="00141EF5">
      <w:pPr>
        <w:spacing w:after="0"/>
        <w:jc w:val="both"/>
        <w:rPr>
          <w:rFonts w:asciiTheme="majorBidi" w:hAnsiTheme="majorBidi" w:cstheme="majorBidi"/>
          <w:sz w:val="24"/>
          <w:szCs w:val="24"/>
        </w:rPr>
      </w:pPr>
      <w:r>
        <w:rPr>
          <w:rFonts w:asciiTheme="majorBidi" w:hAnsiTheme="majorBidi" w:cstheme="majorBidi"/>
          <w:sz w:val="24"/>
          <w:szCs w:val="24"/>
        </w:rPr>
        <w:tab/>
        <w:t>A good number of economists worry that the huge liquidity injections since September 2008 will</w:t>
      </w:r>
      <w:r w:rsidR="004D53F2">
        <w:rPr>
          <w:rFonts w:asciiTheme="majorBidi" w:hAnsiTheme="majorBidi" w:cstheme="majorBidi"/>
          <w:sz w:val="24"/>
          <w:szCs w:val="24"/>
        </w:rPr>
        <w:t xml:space="preserve"> ignite the fires of inflation (an example is </w:t>
      </w:r>
      <w:proofErr w:type="spellStart"/>
      <w:r w:rsidR="004D53F2">
        <w:rPr>
          <w:rFonts w:asciiTheme="majorBidi" w:hAnsiTheme="majorBidi" w:cstheme="majorBidi"/>
          <w:sz w:val="24"/>
          <w:szCs w:val="24"/>
        </w:rPr>
        <w:t>Issing</w:t>
      </w:r>
      <w:proofErr w:type="spellEnd"/>
      <w:r w:rsidR="004D53F2">
        <w:rPr>
          <w:rFonts w:asciiTheme="majorBidi" w:hAnsiTheme="majorBidi" w:cstheme="majorBidi"/>
          <w:sz w:val="24"/>
          <w:szCs w:val="24"/>
        </w:rPr>
        <w:t xml:space="preserve"> (2012)). </w:t>
      </w:r>
      <w:r w:rsidR="00AB73C6">
        <w:rPr>
          <w:rFonts w:asciiTheme="majorBidi" w:hAnsiTheme="majorBidi" w:cstheme="majorBidi"/>
          <w:sz w:val="24"/>
          <w:szCs w:val="24"/>
        </w:rPr>
        <w:t>Since the cumulative rate of grow</w:t>
      </w:r>
      <w:r w:rsidR="00D80DFD">
        <w:rPr>
          <w:rFonts w:asciiTheme="majorBidi" w:hAnsiTheme="majorBidi" w:cstheme="majorBidi"/>
          <w:sz w:val="24"/>
          <w:szCs w:val="24"/>
        </w:rPr>
        <w:t>th of base money in the US following</w:t>
      </w:r>
      <w:r w:rsidR="00AB73C6">
        <w:rPr>
          <w:rFonts w:asciiTheme="majorBidi" w:hAnsiTheme="majorBidi" w:cstheme="majorBidi"/>
          <w:sz w:val="24"/>
          <w:szCs w:val="24"/>
        </w:rPr>
        <w:t xml:space="preserve"> Lehman’s downfall is of the same order</w:t>
      </w:r>
      <w:r>
        <w:rPr>
          <w:rFonts w:asciiTheme="majorBidi" w:hAnsiTheme="majorBidi" w:cstheme="majorBidi"/>
          <w:sz w:val="24"/>
          <w:szCs w:val="24"/>
        </w:rPr>
        <w:t xml:space="preserve"> </w:t>
      </w:r>
      <w:r w:rsidR="00AB73C6">
        <w:rPr>
          <w:rFonts w:asciiTheme="majorBidi" w:hAnsiTheme="majorBidi" w:cstheme="majorBidi"/>
          <w:sz w:val="24"/>
          <w:szCs w:val="24"/>
        </w:rPr>
        <w:t>of magnitude as the cumulative rate of gro</w:t>
      </w:r>
      <w:r w:rsidR="004631EB">
        <w:rPr>
          <w:rFonts w:asciiTheme="majorBidi" w:hAnsiTheme="majorBidi" w:cstheme="majorBidi"/>
          <w:sz w:val="24"/>
          <w:szCs w:val="24"/>
        </w:rPr>
        <w:t>wth of base money up to a bit over</w:t>
      </w:r>
      <w:r w:rsidR="00D80DFD">
        <w:rPr>
          <w:rFonts w:asciiTheme="majorBidi" w:hAnsiTheme="majorBidi" w:cstheme="majorBidi"/>
          <w:sz w:val="24"/>
          <w:szCs w:val="24"/>
        </w:rPr>
        <w:t xml:space="preserve"> </w:t>
      </w:r>
      <w:r w:rsidR="00AB73C6">
        <w:rPr>
          <w:rFonts w:asciiTheme="majorBidi" w:hAnsiTheme="majorBidi" w:cstheme="majorBidi"/>
          <w:sz w:val="24"/>
          <w:szCs w:val="24"/>
        </w:rPr>
        <w:t>hal</w:t>
      </w:r>
      <w:r w:rsidR="00CA716A">
        <w:rPr>
          <w:rFonts w:asciiTheme="majorBidi" w:hAnsiTheme="majorBidi" w:cstheme="majorBidi"/>
          <w:sz w:val="24"/>
          <w:szCs w:val="24"/>
        </w:rPr>
        <w:t>f of the German hyperinflation</w:t>
      </w:r>
      <w:r w:rsidR="00AB73C6">
        <w:rPr>
          <w:rFonts w:asciiTheme="majorBidi" w:hAnsiTheme="majorBidi" w:cstheme="majorBidi"/>
          <w:sz w:val="24"/>
          <w:szCs w:val="24"/>
        </w:rPr>
        <w:t xml:space="preserve"> of the twenties this worry appears to be based on a solid and d</w:t>
      </w:r>
      <w:r w:rsidR="00C83720">
        <w:rPr>
          <w:rFonts w:asciiTheme="majorBidi" w:hAnsiTheme="majorBidi" w:cstheme="majorBidi"/>
          <w:sz w:val="24"/>
          <w:szCs w:val="24"/>
        </w:rPr>
        <w:t xml:space="preserve">ramatic historical precedent. </w:t>
      </w:r>
      <w:r w:rsidR="00AB73C6">
        <w:rPr>
          <w:rFonts w:asciiTheme="majorBidi" w:hAnsiTheme="majorBidi" w:cstheme="majorBidi"/>
          <w:sz w:val="24"/>
          <w:szCs w:val="24"/>
        </w:rPr>
        <w:t xml:space="preserve">However the inflationary impacts of those two similar monetary expansions are dramatically different suggesting that there are other crucial differences between the two cases. The paper discusses those differences and argues that </w:t>
      </w:r>
      <w:r w:rsidR="00D80DFD">
        <w:rPr>
          <w:rFonts w:asciiTheme="majorBidi" w:hAnsiTheme="majorBidi" w:cstheme="majorBidi"/>
          <w:sz w:val="24"/>
          <w:szCs w:val="24"/>
        </w:rPr>
        <w:t xml:space="preserve">they suffice to support the view that, with proper monitoring by the Fed, the risks of inflation in today’s US </w:t>
      </w:r>
      <w:r w:rsidR="003307C9">
        <w:rPr>
          <w:rFonts w:asciiTheme="majorBidi" w:hAnsiTheme="majorBidi" w:cstheme="majorBidi"/>
          <w:sz w:val="24"/>
          <w:szCs w:val="24"/>
        </w:rPr>
        <w:t xml:space="preserve">are minimal and </w:t>
      </w:r>
      <w:r w:rsidR="004D53F2">
        <w:rPr>
          <w:rFonts w:asciiTheme="majorBidi" w:hAnsiTheme="majorBidi" w:cstheme="majorBidi"/>
          <w:sz w:val="24"/>
          <w:szCs w:val="24"/>
        </w:rPr>
        <w:t xml:space="preserve">can be kept under control. </w:t>
      </w:r>
      <w:r w:rsidR="004D53F2">
        <w:rPr>
          <w:rFonts w:asciiTheme="majorBidi" w:hAnsiTheme="majorBidi" w:cstheme="majorBidi"/>
          <w:sz w:val="24"/>
          <w:szCs w:val="24"/>
        </w:rPr>
        <w:tab/>
        <w:t xml:space="preserve">Furthermore, this can be done even without engaging in open market sales by raising the interest rate paid on bank reserves at the Fed. However, since small and medium size businesses rely relatively more on banking credit using only this </w:t>
      </w:r>
      <w:proofErr w:type="gramStart"/>
      <w:r w:rsidR="004D53F2">
        <w:rPr>
          <w:rFonts w:asciiTheme="majorBidi" w:hAnsiTheme="majorBidi" w:cstheme="majorBidi"/>
          <w:sz w:val="24"/>
          <w:szCs w:val="24"/>
        </w:rPr>
        <w:t>tightening  instrument</w:t>
      </w:r>
      <w:proofErr w:type="gramEnd"/>
      <w:r w:rsidR="004D53F2">
        <w:rPr>
          <w:rFonts w:asciiTheme="majorBidi" w:hAnsiTheme="majorBidi" w:cstheme="majorBidi"/>
          <w:sz w:val="24"/>
          <w:szCs w:val="24"/>
        </w:rPr>
        <w:t xml:space="preserve"> for the purpose of exiting would put an excessively large part of the exit </w:t>
      </w:r>
      <w:r w:rsidR="004D53F2">
        <w:rPr>
          <w:rFonts w:asciiTheme="majorBidi" w:hAnsiTheme="majorBidi" w:cstheme="majorBidi"/>
          <w:sz w:val="24"/>
          <w:szCs w:val="24"/>
        </w:rPr>
        <w:lastRenderedPageBreak/>
        <w:t xml:space="preserve">burden on such firms. It is therefore advisable to combine the payment of higher interest on reserves with some run of the mill open market sales. </w:t>
      </w:r>
    </w:p>
    <w:p w:rsidR="002F67F2" w:rsidRDefault="009E385F" w:rsidP="002F67F2">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ab/>
        <w:t>The discussion in this paper is implicitly based on the presumption that the persistent slowdown in banking credit is due to the behavior of banks and of their suppli</w:t>
      </w:r>
      <w:r w:rsidR="00F85BF9">
        <w:rPr>
          <w:rFonts w:asciiTheme="majorBidi" w:hAnsiTheme="majorBidi" w:cstheme="majorBidi"/>
          <w:sz w:val="24"/>
          <w:szCs w:val="24"/>
        </w:rPr>
        <w:t>ers</w:t>
      </w:r>
      <w:r>
        <w:rPr>
          <w:rFonts w:asciiTheme="majorBidi" w:hAnsiTheme="majorBidi" w:cstheme="majorBidi"/>
          <w:sz w:val="24"/>
          <w:szCs w:val="24"/>
        </w:rPr>
        <w:t xml:space="preserve"> </w:t>
      </w:r>
      <w:r w:rsidR="00F85BF9">
        <w:rPr>
          <w:rFonts w:asciiTheme="majorBidi" w:hAnsiTheme="majorBidi" w:cstheme="majorBidi"/>
          <w:sz w:val="24"/>
          <w:szCs w:val="24"/>
        </w:rPr>
        <w:t xml:space="preserve">of funds </w:t>
      </w:r>
      <w:r>
        <w:rPr>
          <w:rFonts w:asciiTheme="majorBidi" w:hAnsiTheme="majorBidi" w:cstheme="majorBidi"/>
          <w:sz w:val="24"/>
          <w:szCs w:val="24"/>
        </w:rPr>
        <w:t>lik</w:t>
      </w:r>
      <w:r w:rsidR="00F85BF9">
        <w:rPr>
          <w:rFonts w:asciiTheme="majorBidi" w:hAnsiTheme="majorBidi" w:cstheme="majorBidi"/>
          <w:sz w:val="24"/>
          <w:szCs w:val="24"/>
        </w:rPr>
        <w:t>e pension a</w:t>
      </w:r>
      <w:r>
        <w:rPr>
          <w:rFonts w:asciiTheme="majorBidi" w:hAnsiTheme="majorBidi" w:cstheme="majorBidi"/>
          <w:sz w:val="24"/>
          <w:szCs w:val="24"/>
        </w:rPr>
        <w:t>nd mutual funds</w:t>
      </w:r>
      <w:r w:rsidR="00F85BF9">
        <w:rPr>
          <w:rFonts w:asciiTheme="majorBidi" w:hAnsiTheme="majorBidi" w:cstheme="majorBidi"/>
          <w:sz w:val="24"/>
          <w:szCs w:val="24"/>
        </w:rPr>
        <w:t xml:space="preserve">. </w:t>
      </w:r>
      <w:r>
        <w:rPr>
          <w:rFonts w:asciiTheme="majorBidi" w:hAnsiTheme="majorBidi" w:cstheme="majorBidi"/>
          <w:sz w:val="24"/>
          <w:szCs w:val="24"/>
        </w:rPr>
        <w:t>Although this effect al</w:t>
      </w:r>
      <w:r w:rsidR="0005131E">
        <w:rPr>
          <w:rFonts w:asciiTheme="majorBidi" w:hAnsiTheme="majorBidi" w:cstheme="majorBidi"/>
          <w:sz w:val="24"/>
          <w:szCs w:val="24"/>
        </w:rPr>
        <w:t>ong with the recession that ens</w:t>
      </w:r>
      <w:r>
        <w:rPr>
          <w:rFonts w:asciiTheme="majorBidi" w:hAnsiTheme="majorBidi" w:cstheme="majorBidi"/>
          <w:sz w:val="24"/>
          <w:szCs w:val="24"/>
        </w:rPr>
        <w:t xml:space="preserve">ued might have also reduced demand for banking credit </w:t>
      </w:r>
      <w:r w:rsidR="008D2851">
        <w:rPr>
          <w:rFonts w:asciiTheme="majorBidi" w:hAnsiTheme="majorBidi" w:cstheme="majorBidi"/>
          <w:sz w:val="24"/>
          <w:szCs w:val="24"/>
        </w:rPr>
        <w:t xml:space="preserve">to some extent </w:t>
      </w:r>
      <w:r>
        <w:rPr>
          <w:rFonts w:asciiTheme="majorBidi" w:hAnsiTheme="majorBidi" w:cstheme="majorBidi"/>
          <w:sz w:val="24"/>
          <w:szCs w:val="24"/>
        </w:rPr>
        <w:t xml:space="preserve">there are at least two reasons supporting the view that the restriction of </w:t>
      </w:r>
      <w:r w:rsidR="00F85BF9">
        <w:rPr>
          <w:rFonts w:asciiTheme="majorBidi" w:hAnsiTheme="majorBidi" w:cstheme="majorBidi"/>
          <w:sz w:val="24"/>
          <w:szCs w:val="24"/>
        </w:rPr>
        <w:t xml:space="preserve">credit </w:t>
      </w:r>
      <w:r>
        <w:rPr>
          <w:rFonts w:asciiTheme="majorBidi" w:hAnsiTheme="majorBidi" w:cstheme="majorBidi"/>
          <w:sz w:val="24"/>
          <w:szCs w:val="24"/>
        </w:rPr>
        <w:t xml:space="preserve">supply </w:t>
      </w:r>
      <w:r w:rsidR="00F85BF9">
        <w:rPr>
          <w:rFonts w:asciiTheme="majorBidi" w:hAnsiTheme="majorBidi" w:cstheme="majorBidi"/>
          <w:sz w:val="24"/>
          <w:szCs w:val="24"/>
        </w:rPr>
        <w:t>by banks was the dominant</w:t>
      </w:r>
      <w:r>
        <w:rPr>
          <w:rFonts w:asciiTheme="majorBidi" w:hAnsiTheme="majorBidi" w:cstheme="majorBidi"/>
          <w:sz w:val="24"/>
          <w:szCs w:val="24"/>
        </w:rPr>
        <w:t xml:space="preserve"> </w:t>
      </w:r>
      <w:proofErr w:type="gramStart"/>
      <w:r>
        <w:rPr>
          <w:rFonts w:asciiTheme="majorBidi" w:hAnsiTheme="majorBidi" w:cstheme="majorBidi"/>
          <w:sz w:val="24"/>
          <w:szCs w:val="24"/>
        </w:rPr>
        <w:t>factor.</w:t>
      </w:r>
      <w:proofErr w:type="gramEnd"/>
      <w:r w:rsidR="00816DE3">
        <w:rPr>
          <w:rFonts w:asciiTheme="majorBidi" w:hAnsiTheme="majorBidi" w:cstheme="majorBidi"/>
          <w:sz w:val="24"/>
          <w:szCs w:val="24"/>
        </w:rPr>
        <w:t xml:space="preserve"> First, t</w:t>
      </w:r>
      <w:r w:rsidR="0005131E">
        <w:rPr>
          <w:rFonts w:asciiTheme="majorBidi" w:hAnsiTheme="majorBidi" w:cstheme="majorBidi"/>
          <w:sz w:val="24"/>
          <w:szCs w:val="24"/>
        </w:rPr>
        <w:t>he fact, documented in section 3, that net new issues of corporate debt went up during 2009 and 2010</w:t>
      </w:r>
      <w:r w:rsidR="00CA716A">
        <w:rPr>
          <w:rFonts w:asciiTheme="majorBidi" w:hAnsiTheme="majorBidi" w:cstheme="majorBidi"/>
          <w:sz w:val="24"/>
          <w:szCs w:val="24"/>
        </w:rPr>
        <w:t xml:space="preserve"> </w:t>
      </w:r>
      <w:r w:rsidR="008D2851">
        <w:rPr>
          <w:rFonts w:asciiTheme="majorBidi" w:hAnsiTheme="majorBidi" w:cstheme="majorBidi"/>
          <w:sz w:val="24"/>
          <w:szCs w:val="24"/>
        </w:rPr>
        <w:t>suggests</w:t>
      </w:r>
      <w:r w:rsidR="0005131E">
        <w:rPr>
          <w:rFonts w:asciiTheme="majorBidi" w:hAnsiTheme="majorBidi" w:cstheme="majorBidi"/>
          <w:sz w:val="24"/>
          <w:szCs w:val="24"/>
        </w:rPr>
        <w:t xml:space="preserve"> that demand for credit by corporations with good access to the capital market was robust in spite of the recession. Given a positive correlation between their demand </w:t>
      </w:r>
      <w:r w:rsidR="00816DE3">
        <w:rPr>
          <w:rFonts w:asciiTheme="majorBidi" w:hAnsiTheme="majorBidi" w:cstheme="majorBidi"/>
          <w:sz w:val="24"/>
          <w:szCs w:val="24"/>
        </w:rPr>
        <w:t xml:space="preserve">for credit </w:t>
      </w:r>
      <w:r w:rsidR="0005131E">
        <w:rPr>
          <w:rFonts w:asciiTheme="majorBidi" w:hAnsiTheme="majorBidi" w:cstheme="majorBidi"/>
          <w:sz w:val="24"/>
          <w:szCs w:val="24"/>
        </w:rPr>
        <w:t>and that of medium and small size enterprises</w:t>
      </w:r>
      <w:r w:rsidR="002F67F2">
        <w:rPr>
          <w:rFonts w:asciiTheme="majorBidi" w:hAnsiTheme="majorBidi" w:cstheme="majorBidi"/>
          <w:sz w:val="24"/>
          <w:szCs w:val="24"/>
        </w:rPr>
        <w:t xml:space="preserve"> (</w:t>
      </w:r>
      <w:r w:rsidR="00816DE3">
        <w:rPr>
          <w:rFonts w:asciiTheme="majorBidi" w:hAnsiTheme="majorBidi" w:cstheme="majorBidi"/>
          <w:sz w:val="24"/>
          <w:szCs w:val="24"/>
        </w:rPr>
        <w:t>that are much more dependent on banking credit</w:t>
      </w:r>
      <w:r w:rsidR="002F67F2">
        <w:rPr>
          <w:rFonts w:asciiTheme="majorBidi" w:hAnsiTheme="majorBidi" w:cstheme="majorBidi"/>
          <w:sz w:val="24"/>
          <w:szCs w:val="24"/>
        </w:rPr>
        <w:t>)</w:t>
      </w:r>
      <w:r w:rsidR="00816DE3">
        <w:rPr>
          <w:rFonts w:asciiTheme="majorBidi" w:hAnsiTheme="majorBidi" w:cstheme="majorBidi"/>
          <w:sz w:val="24"/>
          <w:szCs w:val="24"/>
        </w:rPr>
        <w:t xml:space="preserve"> the arrest in banking credit during those years is consistent with the view that it is due mainly to banks’ reluctance to lend. </w:t>
      </w:r>
    </w:p>
    <w:p w:rsidR="00057969" w:rsidRPr="00EB6426" w:rsidRDefault="002F67F2" w:rsidP="00057969">
      <w:pPr>
        <w:spacing w:after="0"/>
        <w:jc w:val="both"/>
        <w:rPr>
          <w:rFonts w:asciiTheme="majorBidi" w:hAnsiTheme="majorBidi" w:cstheme="majorBidi"/>
          <w:sz w:val="24"/>
          <w:szCs w:val="24"/>
        </w:rPr>
      </w:pPr>
      <w:r>
        <w:rPr>
          <w:rFonts w:asciiTheme="majorBidi" w:hAnsiTheme="majorBidi" w:cstheme="majorBidi"/>
          <w:sz w:val="24"/>
          <w:szCs w:val="24"/>
        </w:rPr>
        <w:tab/>
      </w:r>
      <w:r w:rsidR="00816DE3" w:rsidRPr="00EB6426">
        <w:rPr>
          <w:rFonts w:asciiTheme="majorBidi" w:hAnsiTheme="majorBidi" w:cstheme="majorBidi"/>
          <w:sz w:val="24"/>
          <w:szCs w:val="24"/>
        </w:rPr>
        <w:t xml:space="preserve">Second, a recent study </w:t>
      </w:r>
      <w:r w:rsidR="00D27341" w:rsidRPr="00EB6426">
        <w:rPr>
          <w:rFonts w:asciiTheme="majorBidi" w:hAnsiTheme="majorBidi" w:cstheme="majorBidi"/>
          <w:sz w:val="24"/>
          <w:szCs w:val="24"/>
        </w:rPr>
        <w:t xml:space="preserve">of </w:t>
      </w:r>
      <w:r w:rsidR="00500DE7" w:rsidRPr="00EB6426">
        <w:rPr>
          <w:rFonts w:asciiTheme="majorBidi" w:hAnsiTheme="majorBidi" w:cstheme="majorBidi"/>
          <w:sz w:val="24"/>
          <w:szCs w:val="24"/>
        </w:rPr>
        <w:t xml:space="preserve">credit card </w:t>
      </w:r>
      <w:r w:rsidR="00D27341" w:rsidRPr="00EB6426">
        <w:rPr>
          <w:rFonts w:asciiTheme="majorBidi" w:hAnsiTheme="majorBidi" w:cstheme="majorBidi"/>
          <w:sz w:val="24"/>
          <w:szCs w:val="24"/>
        </w:rPr>
        <w:t>c</w:t>
      </w:r>
      <w:r w:rsidR="00500DE7" w:rsidRPr="00EB6426">
        <w:rPr>
          <w:rFonts w:asciiTheme="majorBidi" w:hAnsiTheme="majorBidi" w:cstheme="majorBidi"/>
          <w:sz w:val="24"/>
          <w:szCs w:val="24"/>
        </w:rPr>
        <w:t>redit ceilings during the recession</w:t>
      </w:r>
      <w:r w:rsidR="00D27341" w:rsidRPr="00EB6426">
        <w:rPr>
          <w:rFonts w:asciiTheme="majorBidi" w:hAnsiTheme="majorBidi" w:cstheme="majorBidi"/>
          <w:sz w:val="24"/>
          <w:szCs w:val="24"/>
        </w:rPr>
        <w:t xml:space="preserve"> suggest</w:t>
      </w:r>
      <w:r w:rsidR="00500DE7" w:rsidRPr="00EB6426">
        <w:rPr>
          <w:rFonts w:asciiTheme="majorBidi" w:hAnsiTheme="majorBidi" w:cstheme="majorBidi"/>
          <w:sz w:val="24"/>
          <w:szCs w:val="24"/>
        </w:rPr>
        <w:t>s</w:t>
      </w:r>
      <w:r w:rsidR="00D27341" w:rsidRPr="00EB6426">
        <w:rPr>
          <w:rFonts w:asciiTheme="majorBidi" w:hAnsiTheme="majorBidi" w:cstheme="majorBidi"/>
          <w:sz w:val="24"/>
          <w:szCs w:val="24"/>
        </w:rPr>
        <w:t xml:space="preserve"> that </w:t>
      </w:r>
      <w:r w:rsidR="00500DE7" w:rsidRPr="00EB6426">
        <w:rPr>
          <w:rFonts w:asciiTheme="majorBidi" w:hAnsiTheme="majorBidi" w:cstheme="majorBidi"/>
          <w:sz w:val="24"/>
          <w:szCs w:val="24"/>
        </w:rPr>
        <w:t>banks pass</w:t>
      </w:r>
      <w:r w:rsidRPr="00EB6426">
        <w:rPr>
          <w:rFonts w:asciiTheme="majorBidi" w:hAnsiTheme="majorBidi" w:cstheme="majorBidi"/>
          <w:sz w:val="24"/>
          <w:szCs w:val="24"/>
        </w:rPr>
        <w:t>ed</w:t>
      </w:r>
      <w:r w:rsidR="00500DE7" w:rsidRPr="00EB6426">
        <w:rPr>
          <w:rFonts w:asciiTheme="majorBidi" w:hAnsiTheme="majorBidi" w:cstheme="majorBidi"/>
          <w:sz w:val="24"/>
          <w:szCs w:val="24"/>
        </w:rPr>
        <w:t xml:space="preserve"> through credit expansions least to households with </w:t>
      </w:r>
      <w:r w:rsidR="007F0D23" w:rsidRPr="00EB6426">
        <w:rPr>
          <w:rFonts w:asciiTheme="majorBidi" w:hAnsiTheme="majorBidi" w:cstheme="majorBidi"/>
          <w:sz w:val="24"/>
          <w:szCs w:val="24"/>
        </w:rPr>
        <w:t xml:space="preserve">relatively low FICO </w:t>
      </w:r>
      <w:r w:rsidRPr="00EB6426">
        <w:rPr>
          <w:rFonts w:asciiTheme="majorBidi" w:hAnsiTheme="majorBidi" w:cstheme="majorBidi"/>
          <w:sz w:val="24"/>
          <w:szCs w:val="24"/>
        </w:rPr>
        <w:t xml:space="preserve">scores during the recession (Agarwal et.al. (2015)). Along with the reasonable supposition that </w:t>
      </w:r>
      <w:r w:rsidR="00CA716A" w:rsidRPr="00EB6426">
        <w:rPr>
          <w:rFonts w:asciiTheme="majorBidi" w:hAnsiTheme="majorBidi" w:cstheme="majorBidi"/>
          <w:sz w:val="24"/>
          <w:szCs w:val="24"/>
        </w:rPr>
        <w:t>the</w:t>
      </w:r>
      <w:r w:rsidRPr="00EB6426">
        <w:rPr>
          <w:rFonts w:asciiTheme="majorBidi" w:hAnsiTheme="majorBidi" w:cstheme="majorBidi"/>
          <w:sz w:val="24"/>
          <w:szCs w:val="24"/>
        </w:rPr>
        <w:t xml:space="preserve"> </w:t>
      </w:r>
      <w:r w:rsidR="00CA716A" w:rsidRPr="00EB6426">
        <w:rPr>
          <w:rFonts w:asciiTheme="majorBidi" w:hAnsiTheme="majorBidi" w:cstheme="majorBidi"/>
          <w:sz w:val="24"/>
          <w:szCs w:val="24"/>
        </w:rPr>
        <w:t xml:space="preserve">mean </w:t>
      </w:r>
      <w:r w:rsidRPr="00EB6426">
        <w:rPr>
          <w:rFonts w:asciiTheme="majorBidi" w:hAnsiTheme="majorBidi" w:cstheme="majorBidi"/>
          <w:sz w:val="24"/>
          <w:szCs w:val="24"/>
        </w:rPr>
        <w:t>FIC</w:t>
      </w:r>
      <w:r w:rsidR="00CA716A" w:rsidRPr="00EB6426">
        <w:rPr>
          <w:rFonts w:asciiTheme="majorBidi" w:hAnsiTheme="majorBidi" w:cstheme="majorBidi"/>
          <w:sz w:val="24"/>
          <w:szCs w:val="24"/>
        </w:rPr>
        <w:t>O score went down</w:t>
      </w:r>
      <w:r w:rsidRPr="00EB6426">
        <w:rPr>
          <w:rFonts w:asciiTheme="majorBidi" w:hAnsiTheme="majorBidi" w:cstheme="majorBidi"/>
          <w:sz w:val="24"/>
          <w:szCs w:val="24"/>
        </w:rPr>
        <w:t xml:space="preserve"> during the crisis this implies that the extent of credit rationing by banks rose in the aftermath of Lehman’s collapse supporting the view that the credit slowdown emanated mainly from the side of supply.</w:t>
      </w:r>
      <w:r w:rsidR="008D2851" w:rsidRPr="00EB6426">
        <w:rPr>
          <w:rFonts w:asciiTheme="majorBidi" w:hAnsiTheme="majorBidi" w:cstheme="majorBidi"/>
          <w:sz w:val="24"/>
          <w:szCs w:val="24"/>
        </w:rPr>
        <w:t xml:space="preserve"> </w:t>
      </w:r>
    </w:p>
    <w:p w:rsidR="008D2851" w:rsidRPr="00EB6426" w:rsidRDefault="00057969" w:rsidP="00057969">
      <w:pPr>
        <w:spacing w:after="0"/>
        <w:jc w:val="both"/>
        <w:rPr>
          <w:rFonts w:asciiTheme="majorBidi" w:hAnsiTheme="majorBidi" w:cstheme="majorBidi"/>
          <w:sz w:val="24"/>
          <w:szCs w:val="24"/>
        </w:rPr>
      </w:pPr>
      <w:r w:rsidRPr="00EB6426">
        <w:rPr>
          <w:rFonts w:asciiTheme="majorBidi" w:hAnsiTheme="majorBidi" w:cstheme="majorBidi"/>
          <w:sz w:val="24"/>
          <w:szCs w:val="24"/>
        </w:rPr>
        <w:tab/>
      </w:r>
      <w:r w:rsidR="008D2851" w:rsidRPr="00EB6426">
        <w:rPr>
          <w:rFonts w:asciiTheme="majorBidi" w:hAnsiTheme="majorBidi" w:cstheme="majorBidi"/>
          <w:sz w:val="24"/>
          <w:szCs w:val="24"/>
        </w:rPr>
        <w:t>Th</w:t>
      </w:r>
      <w:r w:rsidR="00CA716A" w:rsidRPr="00EB6426">
        <w:rPr>
          <w:rFonts w:asciiTheme="majorBidi" w:hAnsiTheme="majorBidi" w:cstheme="majorBidi"/>
          <w:sz w:val="24"/>
          <w:szCs w:val="24"/>
        </w:rPr>
        <w:t>e</w:t>
      </w:r>
      <w:r w:rsidR="008D2851" w:rsidRPr="00EB6426">
        <w:rPr>
          <w:rFonts w:asciiTheme="majorBidi" w:hAnsiTheme="majorBidi" w:cstheme="majorBidi"/>
          <w:sz w:val="24"/>
          <w:szCs w:val="24"/>
        </w:rPr>
        <w:t xml:space="preserve"> paper argues that </w:t>
      </w:r>
      <w:r w:rsidRPr="00EB6426">
        <w:rPr>
          <w:rFonts w:asciiTheme="majorBidi" w:hAnsiTheme="majorBidi" w:cstheme="majorBidi"/>
          <w:sz w:val="24"/>
          <w:szCs w:val="24"/>
        </w:rPr>
        <w:t xml:space="preserve">the </w:t>
      </w:r>
      <w:r w:rsidR="008D2851" w:rsidRPr="00EB6426">
        <w:rPr>
          <w:rFonts w:asciiTheme="majorBidi" w:hAnsiTheme="majorBidi" w:cstheme="majorBidi"/>
          <w:sz w:val="24"/>
          <w:szCs w:val="24"/>
        </w:rPr>
        <w:t xml:space="preserve">banks’ reluctance to lend can be traced back to </w:t>
      </w:r>
      <w:r w:rsidRPr="00EB6426">
        <w:rPr>
          <w:rFonts w:asciiTheme="majorBidi" w:hAnsiTheme="majorBidi" w:cstheme="majorBidi"/>
          <w:sz w:val="24"/>
          <w:szCs w:val="24"/>
        </w:rPr>
        <w:t>a combination of the traumatic experiences following</w:t>
      </w:r>
      <w:r w:rsidR="008D2851" w:rsidRPr="00EB6426">
        <w:rPr>
          <w:rFonts w:asciiTheme="majorBidi" w:hAnsiTheme="majorBidi" w:cstheme="majorBidi"/>
          <w:sz w:val="24"/>
          <w:szCs w:val="24"/>
        </w:rPr>
        <w:t xml:space="preserve"> the dec</w:t>
      </w:r>
      <w:r w:rsidRPr="00EB6426">
        <w:rPr>
          <w:rFonts w:asciiTheme="majorBidi" w:hAnsiTheme="majorBidi" w:cstheme="majorBidi"/>
          <w:sz w:val="24"/>
          <w:szCs w:val="24"/>
        </w:rPr>
        <w:t xml:space="preserve">ision not to bailout Lehman along with regulatory toughening through </w:t>
      </w:r>
      <w:r w:rsidR="008D2851" w:rsidRPr="00EB6426">
        <w:rPr>
          <w:rFonts w:asciiTheme="majorBidi" w:hAnsiTheme="majorBidi" w:cstheme="majorBidi"/>
          <w:sz w:val="24"/>
          <w:szCs w:val="24"/>
        </w:rPr>
        <w:t xml:space="preserve">the Dodd- Frank Act </w:t>
      </w:r>
      <w:r w:rsidRPr="00EB6426">
        <w:rPr>
          <w:rFonts w:asciiTheme="majorBidi" w:hAnsiTheme="majorBidi" w:cstheme="majorBidi"/>
          <w:sz w:val="24"/>
          <w:szCs w:val="24"/>
        </w:rPr>
        <w:t xml:space="preserve">and related legislation. </w:t>
      </w:r>
      <w:r w:rsidR="008D2851" w:rsidRPr="00EB6426">
        <w:rPr>
          <w:rFonts w:asciiTheme="majorBidi" w:hAnsiTheme="majorBidi" w:cstheme="majorBidi"/>
          <w:sz w:val="24"/>
          <w:szCs w:val="24"/>
        </w:rPr>
        <w:t xml:space="preserve">This view is consistent with the analysis in Acharya, Shin and </w:t>
      </w:r>
      <w:proofErr w:type="spellStart"/>
      <w:r w:rsidR="008D2851" w:rsidRPr="00EB6426">
        <w:rPr>
          <w:rFonts w:asciiTheme="majorBidi" w:hAnsiTheme="majorBidi" w:cstheme="majorBidi"/>
          <w:sz w:val="24"/>
          <w:szCs w:val="24"/>
        </w:rPr>
        <w:t>Yorulmazer</w:t>
      </w:r>
      <w:proofErr w:type="spellEnd"/>
      <w:r w:rsidR="008D2851" w:rsidRPr="00EB6426">
        <w:rPr>
          <w:rFonts w:asciiTheme="majorBidi" w:hAnsiTheme="majorBidi" w:cstheme="majorBidi"/>
          <w:sz w:val="24"/>
          <w:szCs w:val="24"/>
        </w:rPr>
        <w:t xml:space="preserve"> (2011) who argue that, due to a strategic acquisition motive, </w:t>
      </w:r>
      <w:proofErr w:type="gramStart"/>
      <w:r w:rsidR="008D2851" w:rsidRPr="00EB6426">
        <w:rPr>
          <w:rFonts w:asciiTheme="majorBidi" w:hAnsiTheme="majorBidi" w:cstheme="majorBidi"/>
          <w:sz w:val="24"/>
          <w:szCs w:val="24"/>
        </w:rPr>
        <w:t>more  pessimistic</w:t>
      </w:r>
      <w:proofErr w:type="gramEnd"/>
      <w:r w:rsidR="008D2851" w:rsidRPr="00EB6426">
        <w:rPr>
          <w:rFonts w:asciiTheme="majorBidi" w:hAnsiTheme="majorBidi" w:cstheme="majorBidi"/>
          <w:sz w:val="24"/>
          <w:szCs w:val="24"/>
        </w:rPr>
        <w:t xml:space="preserve"> views about the likelihood of bailouts raises the </w:t>
      </w:r>
      <w:proofErr w:type="spellStart"/>
      <w:r w:rsidR="008D2851" w:rsidRPr="00EB6426">
        <w:rPr>
          <w:rFonts w:asciiTheme="majorBidi" w:hAnsiTheme="majorBidi" w:cstheme="majorBidi"/>
          <w:sz w:val="24"/>
          <w:szCs w:val="24"/>
        </w:rPr>
        <w:t>exante</w:t>
      </w:r>
      <w:proofErr w:type="spellEnd"/>
      <w:r w:rsidR="008D2851" w:rsidRPr="00EB6426">
        <w:rPr>
          <w:rFonts w:asciiTheme="majorBidi" w:hAnsiTheme="majorBidi" w:cstheme="majorBidi"/>
          <w:sz w:val="24"/>
          <w:szCs w:val="24"/>
        </w:rPr>
        <w:t xml:space="preserve"> incentives of banks to hold liquidity.</w:t>
      </w:r>
    </w:p>
    <w:p w:rsidR="00803D61" w:rsidRPr="00EB6426" w:rsidRDefault="00803D61" w:rsidP="00803D61">
      <w:pPr>
        <w:spacing w:after="0"/>
        <w:jc w:val="both"/>
        <w:rPr>
          <w:rFonts w:asciiTheme="majorBidi" w:hAnsiTheme="majorBidi" w:cstheme="majorBidi"/>
          <w:sz w:val="24"/>
          <w:szCs w:val="24"/>
        </w:rPr>
      </w:pPr>
      <w:r w:rsidRPr="00EB6426">
        <w:rPr>
          <w:rFonts w:asciiTheme="majorBidi" w:hAnsiTheme="majorBidi" w:cstheme="majorBidi"/>
          <w:sz w:val="24"/>
          <w:szCs w:val="24"/>
        </w:rPr>
        <w:tab/>
        <w:t xml:space="preserve">Finally, Cukierman and Izhakian (2015) show that, as a theoretical matter, the lower bailout uncertainty prior to an increase in this uncertainty following a traumatic Lehman type event, the larger the pre-crisis credit buildup and the more serious the post crisis credit arrest. An important lesson from this result is that the longer an asset bubble is allowed to expand the more painful will be its downfall if and when it bursts. There is consequently a </w:t>
      </w:r>
      <w:proofErr w:type="gramStart"/>
      <w:r w:rsidRPr="00EB6426">
        <w:rPr>
          <w:rFonts w:asciiTheme="majorBidi" w:hAnsiTheme="majorBidi" w:cstheme="majorBidi"/>
          <w:sz w:val="24"/>
          <w:szCs w:val="24"/>
        </w:rPr>
        <w:t>tradeoff  between</w:t>
      </w:r>
      <w:proofErr w:type="gramEnd"/>
      <w:r w:rsidRPr="00EB6426">
        <w:rPr>
          <w:rFonts w:asciiTheme="majorBidi" w:hAnsiTheme="majorBidi" w:cstheme="majorBidi"/>
          <w:sz w:val="24"/>
          <w:szCs w:val="24"/>
        </w:rPr>
        <w:t xml:space="preserve"> interfering with credit expansion too early and too late. </w:t>
      </w:r>
      <w:r w:rsidRPr="00EB6426">
        <w:rPr>
          <w:rFonts w:asciiTheme="majorBidi" w:hAnsiTheme="majorBidi" w:cstheme="majorBidi"/>
          <w:sz w:val="24"/>
          <w:szCs w:val="24"/>
        </w:rPr>
        <w:lastRenderedPageBreak/>
        <w:t>Earlier interference reduces the probability of a catastrophic bubble burst at the cost of potentially slowing down a healthy growth process.</w:t>
      </w:r>
    </w:p>
    <w:p w:rsidR="00A24B64" w:rsidRDefault="00A24B64" w:rsidP="00C87DD0">
      <w:pPr>
        <w:spacing w:after="0"/>
        <w:rPr>
          <w:rFonts w:asciiTheme="majorBidi" w:hAnsiTheme="majorBidi" w:cstheme="majorBidi"/>
          <w:b/>
          <w:bCs/>
          <w:sz w:val="32"/>
          <w:szCs w:val="32"/>
        </w:rPr>
      </w:pPr>
    </w:p>
    <w:p w:rsidR="00C87DD0" w:rsidRDefault="00647231" w:rsidP="00C87DD0">
      <w:pPr>
        <w:spacing w:after="0"/>
        <w:rPr>
          <w:rFonts w:asciiTheme="majorBidi" w:hAnsiTheme="majorBidi" w:cstheme="majorBidi"/>
          <w:b/>
          <w:bCs/>
          <w:sz w:val="32"/>
          <w:szCs w:val="32"/>
        </w:rPr>
      </w:pPr>
      <w:r>
        <w:rPr>
          <w:rFonts w:asciiTheme="majorBidi" w:hAnsiTheme="majorBidi" w:cstheme="majorBidi"/>
          <w:b/>
          <w:bCs/>
          <w:sz w:val="32"/>
          <w:szCs w:val="32"/>
        </w:rPr>
        <w:t>References</w:t>
      </w:r>
    </w:p>
    <w:p w:rsidR="008313B7" w:rsidRDefault="00C87DD0" w:rsidP="008313B7">
      <w:pPr>
        <w:rPr>
          <w:rFonts w:asciiTheme="majorBidi" w:hAnsiTheme="majorBidi" w:cstheme="majorBidi"/>
          <w:sz w:val="24"/>
          <w:szCs w:val="24"/>
        </w:rPr>
      </w:pPr>
      <w:proofErr w:type="gramStart"/>
      <w:r w:rsidRPr="00C87DD0">
        <w:rPr>
          <w:rFonts w:asciiTheme="majorBidi" w:hAnsiTheme="majorBidi" w:cstheme="majorBidi"/>
          <w:sz w:val="24"/>
          <w:szCs w:val="24"/>
        </w:rPr>
        <w:t xml:space="preserve">Acharya, V. V., H.S. Shin and T. </w:t>
      </w:r>
      <w:proofErr w:type="spellStart"/>
      <w:r w:rsidRPr="00C87DD0">
        <w:rPr>
          <w:rFonts w:asciiTheme="majorBidi" w:hAnsiTheme="majorBidi" w:cstheme="majorBidi"/>
          <w:sz w:val="24"/>
          <w:szCs w:val="24"/>
        </w:rPr>
        <w:t>Yorulmazer</w:t>
      </w:r>
      <w:proofErr w:type="spellEnd"/>
      <w:r w:rsidRPr="00C87DD0">
        <w:rPr>
          <w:rFonts w:asciiTheme="majorBidi" w:hAnsiTheme="majorBidi" w:cstheme="majorBidi"/>
          <w:sz w:val="24"/>
          <w:szCs w:val="24"/>
        </w:rPr>
        <w:t xml:space="preserve"> (2011) “Crisis Resolution and Bank Liquidity,” </w:t>
      </w:r>
      <w:r w:rsidRPr="00E87707">
        <w:rPr>
          <w:rFonts w:asciiTheme="majorBidi" w:hAnsiTheme="majorBidi" w:cstheme="majorBidi"/>
          <w:b/>
          <w:bCs/>
          <w:sz w:val="24"/>
          <w:szCs w:val="24"/>
        </w:rPr>
        <w:t>The Review of Financial Studies</w:t>
      </w:r>
      <w:r w:rsidRPr="00C87DD0">
        <w:rPr>
          <w:rFonts w:asciiTheme="majorBidi" w:hAnsiTheme="majorBidi" w:cstheme="majorBidi"/>
          <w:sz w:val="24"/>
          <w:szCs w:val="24"/>
        </w:rPr>
        <w:t>, 24(6), 2166-2205.</w:t>
      </w:r>
      <w:proofErr w:type="gramEnd"/>
      <w:r w:rsidRPr="00C87DD0">
        <w:rPr>
          <w:rFonts w:asciiTheme="majorBidi" w:hAnsiTheme="majorBidi" w:cstheme="majorBidi"/>
          <w:sz w:val="24"/>
          <w:szCs w:val="24"/>
        </w:rPr>
        <w:t xml:space="preserve"> </w:t>
      </w:r>
    </w:p>
    <w:p w:rsidR="00054C69" w:rsidRDefault="00054C69" w:rsidP="008313B7">
      <w:pPr>
        <w:rPr>
          <w:rFonts w:asciiTheme="majorBidi" w:hAnsiTheme="majorBidi" w:cstheme="majorBidi"/>
          <w:b/>
          <w:bCs/>
          <w:sz w:val="32"/>
          <w:szCs w:val="32"/>
        </w:rPr>
      </w:pPr>
      <w:r>
        <w:rPr>
          <w:rFonts w:asciiTheme="majorBidi" w:hAnsiTheme="majorBidi" w:cstheme="majorBidi"/>
          <w:sz w:val="24"/>
          <w:szCs w:val="24"/>
        </w:rPr>
        <w:t xml:space="preserve">Agarwal S., S. </w:t>
      </w:r>
      <w:proofErr w:type="spellStart"/>
      <w:r>
        <w:rPr>
          <w:rFonts w:asciiTheme="majorBidi" w:hAnsiTheme="majorBidi" w:cstheme="majorBidi"/>
          <w:sz w:val="24"/>
          <w:szCs w:val="24"/>
        </w:rPr>
        <w:t>Chomsisengphet</w:t>
      </w:r>
      <w:proofErr w:type="spellEnd"/>
      <w:r>
        <w:rPr>
          <w:rFonts w:asciiTheme="majorBidi" w:hAnsiTheme="majorBidi" w:cstheme="majorBidi"/>
          <w:sz w:val="24"/>
          <w:szCs w:val="24"/>
        </w:rPr>
        <w:t xml:space="preserve">, N. Mahoney and J. Strobel (2015), “Do Banks Pass Through Credit Expansions? </w:t>
      </w:r>
      <w:proofErr w:type="gramStart"/>
      <w:r>
        <w:rPr>
          <w:rFonts w:asciiTheme="majorBidi" w:hAnsiTheme="majorBidi" w:cstheme="majorBidi"/>
          <w:sz w:val="24"/>
          <w:szCs w:val="24"/>
        </w:rPr>
        <w:t>The Marginal Profitability of Consumer Lending During the Great Recession”, CEPR DP No. 10839, September.</w:t>
      </w:r>
      <w:proofErr w:type="gramEnd"/>
      <w:r>
        <w:rPr>
          <w:rFonts w:asciiTheme="majorBidi" w:hAnsiTheme="majorBidi" w:cstheme="majorBidi"/>
          <w:sz w:val="24"/>
          <w:szCs w:val="24"/>
        </w:rPr>
        <w:t xml:space="preserve"> </w:t>
      </w:r>
    </w:p>
    <w:p w:rsidR="00C87DD0" w:rsidRDefault="00DB5EEE" w:rsidP="008313B7">
      <w:pPr>
        <w:rPr>
          <w:rFonts w:asciiTheme="majorBidi" w:hAnsiTheme="majorBidi" w:cstheme="majorBidi"/>
          <w:sz w:val="24"/>
          <w:szCs w:val="24"/>
        </w:rPr>
      </w:pPr>
      <w:proofErr w:type="spellStart"/>
      <w:r w:rsidRPr="00DB5EEE">
        <w:rPr>
          <w:rFonts w:asciiTheme="majorBidi" w:hAnsiTheme="majorBidi" w:cstheme="majorBidi"/>
          <w:sz w:val="24"/>
          <w:szCs w:val="24"/>
        </w:rPr>
        <w:t>Akerlof</w:t>
      </w:r>
      <w:proofErr w:type="spellEnd"/>
      <w:r w:rsidRPr="00DB5EEE">
        <w:rPr>
          <w:rFonts w:asciiTheme="majorBidi" w:hAnsiTheme="majorBidi" w:cstheme="majorBidi"/>
          <w:sz w:val="24"/>
          <w:szCs w:val="24"/>
        </w:rPr>
        <w:t xml:space="preserve">, </w:t>
      </w:r>
      <w:r w:rsidR="00E10667">
        <w:rPr>
          <w:rFonts w:asciiTheme="majorBidi" w:hAnsiTheme="majorBidi" w:cstheme="majorBidi"/>
          <w:sz w:val="24"/>
          <w:szCs w:val="24"/>
        </w:rPr>
        <w:t>G. and R. Shiller, R. J. (2009),</w:t>
      </w:r>
      <w:r w:rsidRPr="00DB5EEE">
        <w:rPr>
          <w:rFonts w:asciiTheme="majorBidi" w:hAnsiTheme="majorBidi" w:cstheme="majorBidi"/>
          <w:sz w:val="24"/>
          <w:szCs w:val="24"/>
        </w:rPr>
        <w:t xml:space="preserve"> </w:t>
      </w:r>
      <w:r>
        <w:rPr>
          <w:rFonts w:asciiTheme="majorBidi" w:hAnsiTheme="majorBidi" w:cstheme="majorBidi"/>
          <w:b/>
          <w:bCs/>
          <w:sz w:val="24"/>
          <w:szCs w:val="24"/>
        </w:rPr>
        <w:t xml:space="preserve">Animal Spirits: How </w:t>
      </w:r>
      <w:r w:rsidRPr="00DB5EEE">
        <w:rPr>
          <w:rFonts w:asciiTheme="majorBidi" w:hAnsiTheme="majorBidi" w:cstheme="majorBidi"/>
          <w:b/>
          <w:bCs/>
          <w:sz w:val="24"/>
          <w:szCs w:val="24"/>
        </w:rPr>
        <w:t xml:space="preserve">Human Psychology Drives the Economy and </w:t>
      </w:r>
      <w:proofErr w:type="gramStart"/>
      <w:r w:rsidRPr="00DB5EEE">
        <w:rPr>
          <w:rFonts w:asciiTheme="majorBidi" w:hAnsiTheme="majorBidi" w:cstheme="majorBidi"/>
          <w:b/>
          <w:bCs/>
          <w:sz w:val="24"/>
          <w:szCs w:val="24"/>
        </w:rPr>
        <w:t>Why</w:t>
      </w:r>
      <w:proofErr w:type="gramEnd"/>
      <w:r w:rsidRPr="00DB5EEE">
        <w:rPr>
          <w:rFonts w:asciiTheme="majorBidi" w:hAnsiTheme="majorBidi" w:cstheme="majorBidi"/>
          <w:b/>
          <w:bCs/>
          <w:sz w:val="24"/>
          <w:szCs w:val="24"/>
        </w:rPr>
        <w:t xml:space="preserve"> it Matters for Global </w:t>
      </w:r>
      <w:r w:rsidRPr="00E15270">
        <w:rPr>
          <w:rFonts w:asciiTheme="majorBidi" w:hAnsiTheme="majorBidi" w:cstheme="majorBidi"/>
          <w:b/>
          <w:bCs/>
          <w:sz w:val="24"/>
          <w:szCs w:val="24"/>
        </w:rPr>
        <w:t>Capitalism</w:t>
      </w:r>
      <w:r>
        <w:rPr>
          <w:rFonts w:asciiTheme="majorBidi" w:hAnsiTheme="majorBidi" w:cstheme="majorBidi"/>
          <w:sz w:val="24"/>
          <w:szCs w:val="24"/>
        </w:rPr>
        <w:t xml:space="preserve">, </w:t>
      </w:r>
      <w:r w:rsidRPr="00DB5EEE">
        <w:rPr>
          <w:rFonts w:asciiTheme="majorBidi" w:hAnsiTheme="majorBidi" w:cstheme="majorBidi"/>
          <w:sz w:val="24"/>
          <w:szCs w:val="24"/>
        </w:rPr>
        <w:t>Princeton University Press, Princeton and Oxford.</w:t>
      </w:r>
    </w:p>
    <w:p w:rsidR="00A51E94" w:rsidRPr="00A51E94" w:rsidRDefault="00A51E94" w:rsidP="00A51E94">
      <w:pPr>
        <w:shd w:val="clear" w:color="auto" w:fill="FFFFFF"/>
        <w:spacing w:after="0" w:line="240" w:lineRule="auto"/>
        <w:outlineLvl w:val="1"/>
        <w:rPr>
          <w:rFonts w:ascii="Times New Roman" w:eastAsia="Times New Roman" w:hAnsi="Times New Roman" w:cs="Times New Roman"/>
          <w:b/>
          <w:bCs/>
          <w:color w:val="000000"/>
          <w:sz w:val="24"/>
          <w:szCs w:val="24"/>
        </w:rPr>
      </w:pPr>
      <w:r w:rsidRPr="00A51E94">
        <w:rPr>
          <w:rFonts w:ascii="Times New Roman" w:eastAsia="Times New Roman" w:hAnsi="Times New Roman" w:cs="Times New Roman"/>
          <w:color w:val="000000"/>
          <w:sz w:val="24"/>
          <w:szCs w:val="24"/>
        </w:rPr>
        <w:t xml:space="preserve">Bernanke B. (2010), </w:t>
      </w:r>
      <w:r w:rsidRPr="00A51E94">
        <w:rPr>
          <w:rFonts w:ascii="Times New Roman" w:eastAsia="Times New Roman" w:hAnsi="Times New Roman" w:cs="Times New Roman"/>
          <w:b/>
          <w:bCs/>
          <w:color w:val="000000"/>
          <w:sz w:val="24"/>
          <w:szCs w:val="24"/>
        </w:rPr>
        <w:t>Semiannual Monetary Policy Report to the Congress</w:t>
      </w:r>
    </w:p>
    <w:p w:rsidR="00A51E94" w:rsidRPr="00A51E94" w:rsidRDefault="00A51E94" w:rsidP="00A51E94">
      <w:pPr>
        <w:shd w:val="clear" w:color="auto" w:fill="FFFFFF"/>
        <w:spacing w:after="0" w:line="240" w:lineRule="auto"/>
        <w:outlineLvl w:val="2"/>
        <w:rPr>
          <w:rFonts w:ascii="Times New Roman" w:eastAsia="Times New Roman" w:hAnsi="Times New Roman" w:cs="Times New Roman"/>
          <w:b/>
          <w:bCs/>
          <w:color w:val="000000"/>
          <w:sz w:val="24"/>
          <w:szCs w:val="24"/>
        </w:rPr>
      </w:pPr>
      <w:proofErr w:type="gramStart"/>
      <w:r w:rsidRPr="00A51E94">
        <w:rPr>
          <w:rFonts w:ascii="Times New Roman" w:eastAsia="Times New Roman" w:hAnsi="Times New Roman" w:cs="Times New Roman"/>
          <w:color w:val="000000"/>
          <w:sz w:val="24"/>
          <w:szCs w:val="24"/>
        </w:rPr>
        <w:t>Before the Committee on Financial Services, U.S. House of Representatives</w:t>
      </w:r>
      <w:r w:rsidRPr="00A51E94">
        <w:rPr>
          <w:rFonts w:ascii="Times New Roman" w:eastAsia="Times New Roman" w:hAnsi="Times New Roman" w:cs="Times New Roman"/>
          <w:b/>
          <w:bCs/>
          <w:color w:val="000000"/>
          <w:sz w:val="24"/>
          <w:szCs w:val="24"/>
        </w:rPr>
        <w:t xml:space="preserve">, </w:t>
      </w:r>
      <w:r w:rsidRPr="00A51E94">
        <w:rPr>
          <w:rFonts w:ascii="Times New Roman" w:eastAsia="Times New Roman" w:hAnsi="Times New Roman" w:cs="Times New Roman"/>
          <w:color w:val="000000"/>
          <w:sz w:val="24"/>
          <w:szCs w:val="24"/>
        </w:rPr>
        <w:t>Washington, D.C.</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February</w:t>
      </w:r>
      <w:r w:rsidRPr="00A51E94">
        <w:rPr>
          <w:rFonts w:ascii="Times New Roman" w:eastAsia="Times New Roman" w:hAnsi="Times New Roman" w:cs="Times New Roman"/>
          <w:color w:val="000000"/>
          <w:sz w:val="24"/>
          <w:szCs w:val="24"/>
        </w:rPr>
        <w:t>.</w:t>
      </w:r>
      <w:proofErr w:type="gramEnd"/>
      <w:r w:rsidRPr="00A51E94">
        <w:rPr>
          <w:rFonts w:ascii="Times New Roman" w:eastAsia="Times New Roman" w:hAnsi="Times New Roman" w:cs="Times New Roman"/>
          <w:color w:val="000000"/>
          <w:sz w:val="24"/>
          <w:szCs w:val="24"/>
        </w:rPr>
        <w:t xml:space="preserve"> </w:t>
      </w:r>
    </w:p>
    <w:p w:rsidR="00A51E94" w:rsidRDefault="00A51E94" w:rsidP="008313B7">
      <w:pPr>
        <w:rPr>
          <w:rFonts w:asciiTheme="majorBidi" w:hAnsiTheme="majorBidi" w:cstheme="majorBidi"/>
          <w:sz w:val="24"/>
          <w:szCs w:val="24"/>
        </w:rPr>
      </w:pPr>
    </w:p>
    <w:p w:rsidR="00E87707" w:rsidRDefault="00E10667" w:rsidP="008313B7">
      <w:pPr>
        <w:rPr>
          <w:rFonts w:asciiTheme="majorBidi" w:hAnsiTheme="majorBidi" w:cstheme="majorBidi"/>
          <w:sz w:val="24"/>
          <w:szCs w:val="24"/>
        </w:rPr>
      </w:pPr>
      <w:proofErr w:type="spellStart"/>
      <w:r w:rsidRPr="00E10667">
        <w:rPr>
          <w:rFonts w:asciiTheme="majorBidi" w:hAnsiTheme="majorBidi" w:cstheme="majorBidi"/>
          <w:sz w:val="24"/>
          <w:szCs w:val="24"/>
        </w:rPr>
        <w:t>Bresciani-Turroni</w:t>
      </w:r>
      <w:proofErr w:type="spellEnd"/>
      <w:r w:rsidRPr="00E10667">
        <w:rPr>
          <w:rFonts w:asciiTheme="majorBidi" w:hAnsiTheme="majorBidi" w:cstheme="majorBidi"/>
          <w:sz w:val="24"/>
          <w:szCs w:val="24"/>
        </w:rPr>
        <w:t xml:space="preserve"> </w:t>
      </w:r>
      <w:r>
        <w:rPr>
          <w:rFonts w:asciiTheme="majorBidi" w:hAnsiTheme="majorBidi" w:cstheme="majorBidi"/>
          <w:sz w:val="24"/>
          <w:szCs w:val="24"/>
        </w:rPr>
        <w:t xml:space="preserve">C. </w:t>
      </w:r>
      <w:r w:rsidRPr="00E10667">
        <w:rPr>
          <w:rFonts w:asciiTheme="majorBidi" w:hAnsiTheme="majorBidi" w:cstheme="majorBidi"/>
          <w:sz w:val="24"/>
          <w:szCs w:val="24"/>
        </w:rPr>
        <w:t>(1937</w:t>
      </w:r>
      <w:r>
        <w:rPr>
          <w:rFonts w:asciiTheme="majorBidi" w:hAnsiTheme="majorBidi" w:cstheme="majorBidi"/>
          <w:sz w:val="24"/>
          <w:szCs w:val="24"/>
        </w:rPr>
        <w:t xml:space="preserve">), </w:t>
      </w:r>
      <w:proofErr w:type="gramStart"/>
      <w:r>
        <w:rPr>
          <w:rFonts w:asciiTheme="majorBidi" w:hAnsiTheme="majorBidi" w:cstheme="majorBidi"/>
          <w:b/>
          <w:bCs/>
          <w:sz w:val="24"/>
          <w:szCs w:val="24"/>
        </w:rPr>
        <w:t>The</w:t>
      </w:r>
      <w:proofErr w:type="gramEnd"/>
      <w:r>
        <w:rPr>
          <w:rFonts w:asciiTheme="majorBidi" w:hAnsiTheme="majorBidi" w:cstheme="majorBidi"/>
          <w:b/>
          <w:bCs/>
          <w:sz w:val="24"/>
          <w:szCs w:val="24"/>
        </w:rPr>
        <w:t xml:space="preserve"> Economics of Inflation: A Study of Currency Depreciation in Post War Germany</w:t>
      </w:r>
      <w:r>
        <w:rPr>
          <w:rFonts w:asciiTheme="majorBidi" w:hAnsiTheme="majorBidi" w:cstheme="majorBidi"/>
          <w:sz w:val="24"/>
          <w:szCs w:val="24"/>
        </w:rPr>
        <w:t xml:space="preserve">, </w:t>
      </w:r>
      <w:proofErr w:type="spellStart"/>
      <w:r>
        <w:rPr>
          <w:rFonts w:asciiTheme="majorBidi" w:hAnsiTheme="majorBidi" w:cstheme="majorBidi"/>
          <w:sz w:val="24"/>
          <w:szCs w:val="24"/>
        </w:rPr>
        <w:t>Georgew</w:t>
      </w:r>
      <w:proofErr w:type="spellEnd"/>
      <w:r>
        <w:rPr>
          <w:rFonts w:asciiTheme="majorBidi" w:hAnsiTheme="majorBidi" w:cstheme="majorBidi"/>
          <w:sz w:val="24"/>
          <w:szCs w:val="24"/>
        </w:rPr>
        <w:t xml:space="preserve"> Allen and Irwin, London,</w:t>
      </w:r>
    </w:p>
    <w:p w:rsidR="00E87707" w:rsidRDefault="00520C10" w:rsidP="008313B7">
      <w:pPr>
        <w:rPr>
          <w:rFonts w:asciiTheme="majorBidi" w:hAnsiTheme="majorBidi" w:cstheme="majorBidi"/>
          <w:sz w:val="24"/>
          <w:szCs w:val="24"/>
        </w:rPr>
      </w:pPr>
      <w:proofErr w:type="spellStart"/>
      <w:r>
        <w:rPr>
          <w:rFonts w:asciiTheme="majorBidi" w:hAnsiTheme="majorBidi" w:cstheme="majorBidi"/>
          <w:sz w:val="24"/>
          <w:szCs w:val="24"/>
        </w:rPr>
        <w:t>Cagan</w:t>
      </w:r>
      <w:proofErr w:type="spellEnd"/>
      <w:r>
        <w:rPr>
          <w:rFonts w:asciiTheme="majorBidi" w:hAnsiTheme="majorBidi" w:cstheme="majorBidi"/>
          <w:sz w:val="24"/>
          <w:szCs w:val="24"/>
        </w:rPr>
        <w:t xml:space="preserve"> P. (1956), “The Monetary Dynamics of Hyperinflation”, in M. Friedman (ed.) </w:t>
      </w:r>
      <w:r>
        <w:rPr>
          <w:rFonts w:asciiTheme="majorBidi" w:hAnsiTheme="majorBidi" w:cstheme="majorBidi"/>
          <w:b/>
          <w:bCs/>
          <w:sz w:val="24"/>
          <w:szCs w:val="24"/>
        </w:rPr>
        <w:t>Studies in the Quantity Theory of Money</w:t>
      </w:r>
      <w:r>
        <w:rPr>
          <w:rFonts w:asciiTheme="majorBidi" w:hAnsiTheme="majorBidi" w:cstheme="majorBidi"/>
          <w:sz w:val="24"/>
          <w:szCs w:val="24"/>
        </w:rPr>
        <w:t>, University of Chicago Press, Chicago, Il.</w:t>
      </w:r>
    </w:p>
    <w:p w:rsidR="002D2875" w:rsidRDefault="00104CBB" w:rsidP="0042453E">
      <w:pPr>
        <w:autoSpaceDE w:val="0"/>
        <w:autoSpaceDN w:val="0"/>
        <w:adjustRightInd w:val="0"/>
        <w:rPr>
          <w:rFonts w:asciiTheme="majorBidi" w:hAnsiTheme="majorBidi" w:cstheme="majorBidi"/>
          <w:sz w:val="24"/>
          <w:szCs w:val="24"/>
        </w:rPr>
      </w:pPr>
      <w:r w:rsidRPr="00C05162">
        <w:rPr>
          <w:rFonts w:asciiTheme="majorBidi" w:hAnsiTheme="majorBidi" w:cstheme="majorBidi"/>
          <w:sz w:val="24"/>
          <w:szCs w:val="24"/>
        </w:rPr>
        <w:t>Cukierman A. (2014), “Euro-Area and US Banks’ Behavior, and ECB-Fed Monetary Policies during the Global Financial Crisis:</w:t>
      </w:r>
      <w:r w:rsidR="00C05162" w:rsidRPr="00C05162">
        <w:rPr>
          <w:rFonts w:asciiTheme="majorBidi" w:hAnsiTheme="majorBidi" w:cstheme="majorBidi"/>
          <w:sz w:val="24"/>
          <w:szCs w:val="24"/>
        </w:rPr>
        <w:t xml:space="preserve"> </w:t>
      </w:r>
      <w:r w:rsidRPr="00C05162">
        <w:rPr>
          <w:rFonts w:asciiTheme="majorBidi" w:hAnsiTheme="majorBidi" w:cstheme="majorBidi"/>
          <w:sz w:val="24"/>
          <w:szCs w:val="24"/>
        </w:rPr>
        <w:t>A Comparison</w:t>
      </w:r>
      <w:r w:rsidR="00C05162" w:rsidRPr="00C05162">
        <w:rPr>
          <w:rFonts w:asciiTheme="majorBidi" w:hAnsiTheme="majorBidi" w:cstheme="majorBidi"/>
          <w:sz w:val="24"/>
          <w:szCs w:val="24"/>
        </w:rPr>
        <w:t xml:space="preserve">”, </w:t>
      </w:r>
      <w:r w:rsidR="002D2875" w:rsidRPr="002D2875">
        <w:rPr>
          <w:rFonts w:asciiTheme="majorBidi" w:hAnsiTheme="majorBidi" w:cstheme="majorBidi"/>
          <w:color w:val="222222"/>
          <w:sz w:val="24"/>
          <w:szCs w:val="24"/>
        </w:rPr>
        <w:t>in</w:t>
      </w:r>
      <w:r w:rsidR="002D2875" w:rsidRPr="002D2875">
        <w:rPr>
          <w:rStyle w:val="apple-converted-space"/>
          <w:rFonts w:asciiTheme="majorBidi" w:hAnsiTheme="majorBidi" w:cstheme="majorBidi"/>
          <w:color w:val="222222"/>
          <w:sz w:val="24"/>
          <w:szCs w:val="24"/>
        </w:rPr>
        <w:t> </w:t>
      </w:r>
      <w:r w:rsidR="002D2875" w:rsidRPr="002D2875">
        <w:rPr>
          <w:rFonts w:asciiTheme="majorBidi" w:hAnsiTheme="majorBidi" w:cstheme="majorBidi"/>
          <w:b/>
          <w:bCs/>
          <w:color w:val="222222"/>
          <w:sz w:val="24"/>
          <w:szCs w:val="24"/>
        </w:rPr>
        <w:t>Money, Regulation &amp; Growth: Financing New Growth in Europe, SUERF Studies</w:t>
      </w:r>
      <w:r w:rsidR="002D2875">
        <w:rPr>
          <w:rFonts w:asciiTheme="majorBidi" w:hAnsiTheme="majorBidi" w:cstheme="majorBidi"/>
          <w:color w:val="222222"/>
          <w:sz w:val="24"/>
          <w:szCs w:val="24"/>
        </w:rPr>
        <w:t>, Number 4</w:t>
      </w:r>
      <w:r w:rsidR="002D2875" w:rsidRPr="002D2875">
        <w:rPr>
          <w:rFonts w:asciiTheme="majorBidi" w:hAnsiTheme="majorBidi" w:cstheme="majorBidi"/>
          <w:color w:val="222222"/>
          <w:sz w:val="24"/>
          <w:szCs w:val="24"/>
        </w:rPr>
        <w:t>, 73-90.</w:t>
      </w:r>
    </w:p>
    <w:p w:rsidR="00F97858" w:rsidRDefault="00647231" w:rsidP="00C05162">
      <w:pPr>
        <w:autoSpaceDE w:val="0"/>
        <w:autoSpaceDN w:val="0"/>
        <w:adjustRightInd w:val="0"/>
        <w:rPr>
          <w:rFonts w:asciiTheme="majorBidi" w:hAnsiTheme="majorBidi" w:cstheme="majorBidi"/>
          <w:sz w:val="24"/>
          <w:szCs w:val="24"/>
        </w:rPr>
      </w:pPr>
      <w:proofErr w:type="gramStart"/>
      <w:r w:rsidRPr="004202BD">
        <w:rPr>
          <w:rFonts w:asciiTheme="majorBidi" w:hAnsiTheme="majorBidi" w:cstheme="majorBidi"/>
          <w:sz w:val="24"/>
          <w:szCs w:val="24"/>
        </w:rPr>
        <w:t xml:space="preserve">Cukierman </w:t>
      </w:r>
      <w:r w:rsidR="0054785E">
        <w:rPr>
          <w:rFonts w:asciiTheme="majorBidi" w:hAnsiTheme="majorBidi" w:cstheme="majorBidi"/>
          <w:sz w:val="24"/>
          <w:szCs w:val="24"/>
        </w:rPr>
        <w:t xml:space="preserve">A. </w:t>
      </w:r>
      <w:r w:rsidRPr="004202BD">
        <w:rPr>
          <w:rFonts w:asciiTheme="majorBidi" w:hAnsiTheme="majorBidi" w:cstheme="majorBidi"/>
          <w:sz w:val="24"/>
          <w:szCs w:val="24"/>
        </w:rPr>
        <w:t xml:space="preserve">(2013), </w:t>
      </w:r>
      <w:hyperlink r:id="rId28" w:history="1">
        <w:r w:rsidRPr="008958F9">
          <w:rPr>
            <w:rStyle w:val="Hyperlink"/>
            <w:rFonts w:asciiTheme="majorBidi" w:hAnsiTheme="majorBidi" w:cstheme="majorBidi"/>
            <w:color w:val="auto"/>
            <w:sz w:val="24"/>
            <w:szCs w:val="24"/>
            <w:u w:val="none"/>
          </w:rPr>
          <w:t>“Monetary Policy and Institutions Before, During and After the Global Financial Crisis</w:t>
        </w:r>
        <w:r w:rsidRPr="004202BD">
          <w:rPr>
            <w:rStyle w:val="Hyperlink"/>
            <w:rFonts w:asciiTheme="majorBidi" w:hAnsiTheme="majorBidi" w:cstheme="majorBidi"/>
            <w:sz w:val="24"/>
            <w:szCs w:val="24"/>
          </w:rPr>
          <w:t>”</w:t>
        </w:r>
      </w:hyperlink>
      <w:r w:rsidRPr="004202BD">
        <w:rPr>
          <w:rFonts w:asciiTheme="majorBidi" w:hAnsiTheme="majorBidi" w:cstheme="majorBidi"/>
          <w:sz w:val="24"/>
          <w:szCs w:val="24"/>
        </w:rPr>
        <w:t xml:space="preserve">, </w:t>
      </w:r>
      <w:r w:rsidRPr="004202BD">
        <w:rPr>
          <w:rFonts w:asciiTheme="majorBidi" w:hAnsiTheme="majorBidi" w:cstheme="majorBidi"/>
          <w:b/>
          <w:bCs/>
          <w:sz w:val="24"/>
          <w:szCs w:val="24"/>
        </w:rPr>
        <w:t xml:space="preserve">Journal of Financial </w:t>
      </w:r>
      <w:r w:rsidRPr="0054785E">
        <w:rPr>
          <w:rFonts w:asciiTheme="majorBidi" w:hAnsiTheme="majorBidi" w:cstheme="majorBidi"/>
          <w:b/>
          <w:bCs/>
          <w:sz w:val="24"/>
          <w:szCs w:val="24"/>
        </w:rPr>
        <w:t>Stability</w:t>
      </w:r>
      <w:r w:rsidR="008958F9">
        <w:rPr>
          <w:rFonts w:asciiTheme="majorBidi" w:hAnsiTheme="majorBidi" w:cstheme="majorBidi"/>
          <w:b/>
          <w:bCs/>
          <w:sz w:val="24"/>
          <w:szCs w:val="24"/>
        </w:rPr>
        <w:t>.</w:t>
      </w:r>
      <w:proofErr w:type="gramEnd"/>
      <w:r w:rsidR="00E10667">
        <w:rPr>
          <w:rFonts w:asciiTheme="majorBidi" w:hAnsiTheme="majorBidi" w:cstheme="majorBidi"/>
          <w:b/>
          <w:bCs/>
          <w:sz w:val="24"/>
          <w:szCs w:val="24"/>
        </w:rPr>
        <w:t xml:space="preserve"> </w:t>
      </w:r>
      <w:r w:rsidR="00E10667">
        <w:rPr>
          <w:rFonts w:asciiTheme="majorBidi" w:hAnsiTheme="majorBidi" w:cstheme="majorBidi"/>
          <w:sz w:val="24"/>
          <w:szCs w:val="24"/>
        </w:rPr>
        <w:t>9, 373-384.</w:t>
      </w:r>
      <w:r w:rsidR="008958F9">
        <w:rPr>
          <w:rFonts w:asciiTheme="majorBidi" w:hAnsiTheme="majorBidi" w:cstheme="majorBidi"/>
          <w:b/>
          <w:bCs/>
          <w:sz w:val="24"/>
          <w:szCs w:val="24"/>
        </w:rPr>
        <w:t xml:space="preserve"> </w:t>
      </w:r>
      <w:hyperlink r:id="rId29" w:history="1">
        <w:r w:rsidR="00F97858" w:rsidRPr="00167BCE">
          <w:rPr>
            <w:rStyle w:val="Hyperlink"/>
            <w:rFonts w:asciiTheme="majorBidi" w:hAnsiTheme="majorBidi" w:cstheme="majorBidi"/>
            <w:sz w:val="24"/>
            <w:szCs w:val="24"/>
          </w:rPr>
          <w:t>http://www.tau.ac.il/~alexcuk/pdf/Online%20Published%20Version%2013.2.20.pdf</w:t>
        </w:r>
      </w:hyperlink>
    </w:p>
    <w:p w:rsidR="008958F9" w:rsidRDefault="008958F9" w:rsidP="00E513E2">
      <w:pPr>
        <w:rPr>
          <w:rStyle w:val="Hyperlink"/>
          <w:rFonts w:asciiTheme="majorBidi" w:hAnsiTheme="majorBidi" w:cstheme="majorBidi"/>
          <w:sz w:val="24"/>
          <w:szCs w:val="24"/>
        </w:rPr>
      </w:pPr>
      <w:r w:rsidRPr="008958F9">
        <w:rPr>
          <w:rFonts w:asciiTheme="majorBidi" w:hAnsiTheme="majorBidi" w:cstheme="majorBidi"/>
          <w:sz w:val="24"/>
          <w:szCs w:val="24"/>
        </w:rPr>
        <w:lastRenderedPageBreak/>
        <w:t>Cukierman, A.,</w:t>
      </w:r>
      <w:r w:rsidR="00137BBA">
        <w:rPr>
          <w:rFonts w:asciiTheme="majorBidi" w:hAnsiTheme="majorBidi" w:cstheme="majorBidi"/>
          <w:sz w:val="24"/>
          <w:szCs w:val="24"/>
        </w:rPr>
        <w:t xml:space="preserve"> and Y. Izhakian (2015</w:t>
      </w:r>
      <w:r w:rsidRPr="008958F9">
        <w:rPr>
          <w:rFonts w:asciiTheme="majorBidi" w:hAnsiTheme="majorBidi" w:cstheme="majorBidi"/>
          <w:sz w:val="24"/>
          <w:szCs w:val="24"/>
        </w:rPr>
        <w:t>)</w:t>
      </w:r>
      <w:proofErr w:type="gramStart"/>
      <w:r w:rsidRPr="008958F9">
        <w:rPr>
          <w:rFonts w:asciiTheme="majorBidi" w:hAnsiTheme="majorBidi" w:cstheme="majorBidi"/>
          <w:sz w:val="24"/>
          <w:szCs w:val="24"/>
        </w:rPr>
        <w:t>.,</w:t>
      </w:r>
      <w:proofErr w:type="gramEnd"/>
      <w:r w:rsidRPr="008958F9">
        <w:rPr>
          <w:rFonts w:asciiTheme="majorBidi" w:hAnsiTheme="majorBidi" w:cstheme="majorBidi"/>
          <w:sz w:val="24"/>
          <w:szCs w:val="24"/>
        </w:rPr>
        <w:t xml:space="preserve"> “Bailout Uncertainty in a Micro founded General Equilibriu</w:t>
      </w:r>
      <w:r w:rsidR="00E513E2">
        <w:rPr>
          <w:rFonts w:asciiTheme="majorBidi" w:hAnsiTheme="majorBidi" w:cstheme="majorBidi"/>
          <w:sz w:val="24"/>
          <w:szCs w:val="24"/>
        </w:rPr>
        <w:t>m Model of the Financial System</w:t>
      </w:r>
      <w:r w:rsidRPr="008958F9">
        <w:rPr>
          <w:rFonts w:asciiTheme="majorBidi" w:hAnsiTheme="majorBidi" w:cstheme="majorBidi"/>
          <w:sz w:val="24"/>
          <w:szCs w:val="24"/>
        </w:rPr>
        <w:t>”</w:t>
      </w:r>
      <w:r w:rsidR="00137BBA">
        <w:rPr>
          <w:rFonts w:asciiTheme="majorBidi" w:hAnsiTheme="majorBidi" w:cstheme="majorBidi"/>
          <w:sz w:val="24"/>
          <w:szCs w:val="24"/>
        </w:rPr>
        <w:t>,</w:t>
      </w:r>
      <w:r w:rsidR="00C83720">
        <w:rPr>
          <w:rFonts w:asciiTheme="majorBidi" w:hAnsiTheme="majorBidi" w:cstheme="majorBidi"/>
          <w:sz w:val="24"/>
          <w:szCs w:val="24"/>
        </w:rPr>
        <w:t xml:space="preserve"> </w:t>
      </w:r>
      <w:r w:rsidR="00E513E2">
        <w:rPr>
          <w:rFonts w:asciiTheme="majorBidi" w:hAnsiTheme="majorBidi" w:cstheme="majorBidi"/>
          <w:b/>
          <w:bCs/>
          <w:sz w:val="24"/>
          <w:szCs w:val="24"/>
        </w:rPr>
        <w:t>Journal of Banking and Finance</w:t>
      </w:r>
      <w:r w:rsidR="00137BBA">
        <w:rPr>
          <w:rFonts w:asciiTheme="majorBidi" w:hAnsiTheme="majorBidi" w:cstheme="majorBidi"/>
          <w:b/>
          <w:bCs/>
          <w:sz w:val="24"/>
          <w:szCs w:val="24"/>
        </w:rPr>
        <w:t>,</w:t>
      </w:r>
      <w:r w:rsidRPr="008958F9">
        <w:rPr>
          <w:rFonts w:asciiTheme="majorBidi" w:hAnsiTheme="majorBidi" w:cstheme="majorBidi"/>
          <w:sz w:val="24"/>
          <w:szCs w:val="24"/>
        </w:rPr>
        <w:t xml:space="preserve"> </w:t>
      </w:r>
      <w:r w:rsidR="00154E3E">
        <w:rPr>
          <w:rFonts w:asciiTheme="majorBidi" w:hAnsiTheme="majorBidi" w:cstheme="majorBidi"/>
          <w:sz w:val="24"/>
          <w:szCs w:val="24"/>
        </w:rPr>
        <w:t xml:space="preserve">52, 160-179. </w:t>
      </w:r>
      <w:hyperlink r:id="rId30" w:history="1">
        <w:r w:rsidR="00076A26" w:rsidRPr="00776955">
          <w:rPr>
            <w:rStyle w:val="Hyperlink"/>
            <w:rFonts w:asciiTheme="majorBidi" w:hAnsiTheme="majorBidi" w:cstheme="majorBidi"/>
            <w:sz w:val="24"/>
            <w:szCs w:val="24"/>
          </w:rPr>
          <w:t>http://www.tau.ac.il/~alexcuk/pdf/BU.13.04.01.pdf</w:t>
        </w:r>
      </w:hyperlink>
    </w:p>
    <w:p w:rsidR="00246BD5" w:rsidRDefault="00402D30" w:rsidP="000870F5">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Cukierman A. (2008), “</w:t>
      </w:r>
      <w:r w:rsidRPr="0063125D">
        <w:rPr>
          <w:rFonts w:asciiTheme="majorBidi" w:hAnsiTheme="majorBidi" w:cstheme="majorBidi"/>
          <w:sz w:val="24"/>
          <w:szCs w:val="24"/>
        </w:rPr>
        <w:t>Misperceptio</w:t>
      </w:r>
      <w:r>
        <w:rPr>
          <w:rFonts w:asciiTheme="majorBidi" w:hAnsiTheme="majorBidi" w:cstheme="majorBidi"/>
          <w:sz w:val="24"/>
          <w:szCs w:val="24"/>
        </w:rPr>
        <w:t>ns about the Frequency of Price Adjustments and Asymmetric Fed’</w:t>
      </w:r>
      <w:r w:rsidRPr="0063125D">
        <w:rPr>
          <w:rFonts w:asciiTheme="majorBidi" w:hAnsiTheme="majorBidi" w:cstheme="majorBidi"/>
          <w:sz w:val="24"/>
          <w:szCs w:val="24"/>
        </w:rPr>
        <w:t>s Preferences</w:t>
      </w:r>
      <w:r>
        <w:rPr>
          <w:rFonts w:asciiTheme="majorBidi" w:hAnsiTheme="majorBidi" w:cstheme="majorBidi"/>
          <w:sz w:val="24"/>
          <w:szCs w:val="24"/>
        </w:rPr>
        <w:t>:</w:t>
      </w:r>
      <w:r w:rsidRPr="0063125D">
        <w:rPr>
          <w:rFonts w:asciiTheme="majorBidi" w:hAnsiTheme="majorBidi" w:cstheme="majorBidi"/>
          <w:sz w:val="24"/>
          <w:szCs w:val="24"/>
        </w:rPr>
        <w:t xml:space="preserve"> .An</w:t>
      </w:r>
      <w:r>
        <w:rPr>
          <w:rFonts w:asciiTheme="majorBidi" w:hAnsiTheme="majorBidi" w:cstheme="majorBidi"/>
          <w:sz w:val="24"/>
          <w:szCs w:val="24"/>
        </w:rPr>
        <w:t xml:space="preserve"> </w:t>
      </w:r>
      <w:r w:rsidRPr="0063125D">
        <w:rPr>
          <w:rFonts w:asciiTheme="majorBidi" w:hAnsiTheme="majorBidi" w:cstheme="majorBidi"/>
          <w:sz w:val="24"/>
          <w:szCs w:val="24"/>
        </w:rPr>
        <w:t>A</w:t>
      </w:r>
      <w:r>
        <w:rPr>
          <w:rFonts w:asciiTheme="majorBidi" w:hAnsiTheme="majorBidi" w:cstheme="majorBidi"/>
          <w:sz w:val="24"/>
          <w:szCs w:val="24"/>
        </w:rPr>
        <w:t xml:space="preserve">ssessment of their Impact on Inflation and Monetary </w:t>
      </w:r>
      <w:r w:rsidRPr="0063125D">
        <w:rPr>
          <w:rFonts w:asciiTheme="majorBidi" w:hAnsiTheme="majorBidi" w:cstheme="majorBidi"/>
          <w:sz w:val="24"/>
          <w:szCs w:val="24"/>
        </w:rPr>
        <w:t xml:space="preserve">Policy </w:t>
      </w:r>
      <w:proofErr w:type="gramStart"/>
      <w:r w:rsidRPr="0063125D">
        <w:rPr>
          <w:rFonts w:asciiTheme="majorBidi" w:hAnsiTheme="majorBidi" w:cstheme="majorBidi"/>
          <w:sz w:val="24"/>
          <w:szCs w:val="24"/>
        </w:rPr>
        <w:t>Under</w:t>
      </w:r>
      <w:proofErr w:type="gramEnd"/>
      <w:r w:rsidRPr="0063125D">
        <w:rPr>
          <w:rFonts w:asciiTheme="majorBidi" w:hAnsiTheme="majorBidi" w:cstheme="majorBidi"/>
          <w:sz w:val="24"/>
          <w:szCs w:val="24"/>
        </w:rPr>
        <w:t xml:space="preserve"> Burns and Miller</w:t>
      </w:r>
      <w:r>
        <w:rPr>
          <w:rFonts w:asciiTheme="majorBidi" w:hAnsiTheme="majorBidi" w:cstheme="majorBidi"/>
          <w:sz w:val="24"/>
          <w:szCs w:val="24"/>
        </w:rPr>
        <w:t xml:space="preserve">”, Unpublished Manuscript, Available at: </w:t>
      </w:r>
      <w:hyperlink r:id="rId31" w:history="1">
        <w:r w:rsidRPr="004A512D">
          <w:rPr>
            <w:rStyle w:val="Hyperlink"/>
            <w:rFonts w:asciiTheme="majorBidi" w:hAnsiTheme="majorBidi" w:cstheme="majorBidi"/>
            <w:sz w:val="24"/>
            <w:szCs w:val="24"/>
          </w:rPr>
          <w:t>http://www.tau.ac.il/~alexcuk/pdf/FPAM,%20RAP,%20GM%20&amp;%20Great%20Inflation-11-08%20Revision.pdf</w:t>
        </w:r>
      </w:hyperlink>
    </w:p>
    <w:p w:rsidR="00145A09" w:rsidRDefault="00145A09" w:rsidP="000870F5">
      <w:pPr>
        <w:rPr>
          <w:rStyle w:val="Hyperlink"/>
          <w:rFonts w:asciiTheme="majorBidi" w:hAnsiTheme="majorBidi" w:cstheme="majorBidi"/>
          <w:color w:val="auto"/>
          <w:sz w:val="24"/>
          <w:szCs w:val="24"/>
          <w:u w:val="none"/>
        </w:rPr>
      </w:pPr>
      <w:r>
        <w:rPr>
          <w:rStyle w:val="Hyperlink"/>
          <w:rFonts w:asciiTheme="majorBidi" w:hAnsiTheme="majorBidi" w:cstheme="majorBidi"/>
          <w:color w:val="auto"/>
          <w:sz w:val="24"/>
          <w:szCs w:val="24"/>
          <w:u w:val="none"/>
        </w:rPr>
        <w:t>Cukierman A. (1988), “Rapid Inflation – Deliberate Policy or Miscalculation?</w:t>
      </w:r>
      <w:proofErr w:type="gramStart"/>
      <w:r>
        <w:rPr>
          <w:rStyle w:val="Hyperlink"/>
          <w:rFonts w:asciiTheme="majorBidi" w:hAnsiTheme="majorBidi" w:cstheme="majorBidi"/>
          <w:color w:val="auto"/>
          <w:sz w:val="24"/>
          <w:szCs w:val="24"/>
          <w:u w:val="none"/>
        </w:rPr>
        <w:t>”,</w:t>
      </w:r>
      <w:proofErr w:type="gramEnd"/>
      <w:r>
        <w:rPr>
          <w:rStyle w:val="Hyperlink"/>
          <w:rFonts w:asciiTheme="majorBidi" w:hAnsiTheme="majorBidi" w:cstheme="majorBidi"/>
          <w:color w:val="auto"/>
          <w:sz w:val="24"/>
          <w:szCs w:val="24"/>
          <w:u w:val="none"/>
        </w:rPr>
        <w:t xml:space="preserve"> </w:t>
      </w:r>
      <w:r>
        <w:rPr>
          <w:rStyle w:val="Hyperlink"/>
          <w:rFonts w:asciiTheme="majorBidi" w:hAnsiTheme="majorBidi" w:cstheme="majorBidi"/>
          <w:b/>
          <w:bCs/>
          <w:color w:val="auto"/>
          <w:sz w:val="24"/>
          <w:szCs w:val="24"/>
          <w:u w:val="none"/>
        </w:rPr>
        <w:t>Carnegie Rochester Conference Series on Public Policy</w:t>
      </w:r>
      <w:r>
        <w:rPr>
          <w:rStyle w:val="Hyperlink"/>
          <w:rFonts w:asciiTheme="majorBidi" w:hAnsiTheme="majorBidi" w:cstheme="majorBidi"/>
          <w:color w:val="auto"/>
          <w:sz w:val="24"/>
          <w:szCs w:val="24"/>
          <w:u w:val="none"/>
        </w:rPr>
        <w:t>, 29, 11-84.</w:t>
      </w:r>
    </w:p>
    <w:p w:rsidR="00D421EF" w:rsidRDefault="00D421EF" w:rsidP="000870F5">
      <w:pPr>
        <w:rPr>
          <w:rStyle w:val="Hyperlink"/>
          <w:rFonts w:asciiTheme="majorBidi" w:hAnsiTheme="majorBidi" w:cstheme="majorBidi"/>
          <w:color w:val="auto"/>
          <w:sz w:val="24"/>
          <w:szCs w:val="24"/>
          <w:u w:val="none"/>
        </w:rPr>
      </w:pPr>
      <w:proofErr w:type="spellStart"/>
      <w:r>
        <w:rPr>
          <w:rStyle w:val="Hyperlink"/>
          <w:rFonts w:asciiTheme="majorBidi" w:hAnsiTheme="majorBidi" w:cstheme="majorBidi"/>
          <w:color w:val="auto"/>
          <w:sz w:val="24"/>
          <w:szCs w:val="24"/>
          <w:u w:val="none"/>
        </w:rPr>
        <w:t>Eichengreen</w:t>
      </w:r>
      <w:proofErr w:type="spellEnd"/>
      <w:r>
        <w:rPr>
          <w:rStyle w:val="Hyperlink"/>
          <w:rFonts w:asciiTheme="majorBidi" w:hAnsiTheme="majorBidi" w:cstheme="majorBidi"/>
          <w:color w:val="auto"/>
          <w:sz w:val="24"/>
          <w:szCs w:val="24"/>
          <w:u w:val="none"/>
        </w:rPr>
        <w:t xml:space="preserve"> B. (2011), </w:t>
      </w:r>
      <w:r>
        <w:rPr>
          <w:rStyle w:val="Hyperlink"/>
          <w:rFonts w:asciiTheme="majorBidi" w:hAnsiTheme="majorBidi" w:cstheme="majorBidi"/>
          <w:b/>
          <w:bCs/>
          <w:color w:val="auto"/>
          <w:sz w:val="24"/>
          <w:szCs w:val="24"/>
          <w:u w:val="none"/>
        </w:rPr>
        <w:t xml:space="preserve">Exorbitant </w:t>
      </w:r>
      <w:proofErr w:type="spellStart"/>
      <w:r>
        <w:rPr>
          <w:rStyle w:val="Hyperlink"/>
          <w:rFonts w:asciiTheme="majorBidi" w:hAnsiTheme="majorBidi" w:cstheme="majorBidi"/>
          <w:b/>
          <w:bCs/>
          <w:color w:val="auto"/>
          <w:sz w:val="24"/>
          <w:szCs w:val="24"/>
          <w:u w:val="none"/>
        </w:rPr>
        <w:t>Priviledge</w:t>
      </w:r>
      <w:proofErr w:type="spellEnd"/>
      <w:r>
        <w:rPr>
          <w:rStyle w:val="Hyperlink"/>
          <w:rFonts w:asciiTheme="majorBidi" w:hAnsiTheme="majorBidi" w:cstheme="majorBidi"/>
          <w:color w:val="auto"/>
          <w:sz w:val="24"/>
          <w:szCs w:val="24"/>
          <w:u w:val="none"/>
        </w:rPr>
        <w:t>, Oxford University Press, NY, NY.</w:t>
      </w:r>
    </w:p>
    <w:p w:rsidR="002D5CEF" w:rsidRPr="00D421EF" w:rsidRDefault="002D5CEF" w:rsidP="000870F5">
      <w:pPr>
        <w:rPr>
          <w:rStyle w:val="Hyperlink"/>
          <w:rFonts w:asciiTheme="majorBidi" w:hAnsiTheme="majorBidi" w:cstheme="majorBidi"/>
          <w:color w:val="auto"/>
          <w:sz w:val="24"/>
          <w:szCs w:val="24"/>
          <w:u w:val="none"/>
        </w:rPr>
      </w:pPr>
      <w:proofErr w:type="gramStart"/>
      <w:r w:rsidRPr="002D5CEF">
        <w:rPr>
          <w:rStyle w:val="Hyperlink"/>
          <w:rFonts w:asciiTheme="majorBidi" w:hAnsiTheme="majorBidi" w:cstheme="majorBidi"/>
          <w:color w:val="auto"/>
          <w:sz w:val="24"/>
          <w:szCs w:val="24"/>
          <w:u w:val="none"/>
        </w:rPr>
        <w:t xml:space="preserve">Friedman M. and A. Schwartz, (1963), </w:t>
      </w:r>
      <w:r w:rsidRPr="002D5CEF">
        <w:rPr>
          <w:rStyle w:val="Hyperlink"/>
          <w:rFonts w:asciiTheme="majorBidi" w:hAnsiTheme="majorBidi" w:cstheme="majorBidi"/>
          <w:b/>
          <w:bCs/>
          <w:color w:val="auto"/>
          <w:sz w:val="24"/>
          <w:szCs w:val="24"/>
          <w:u w:val="none"/>
        </w:rPr>
        <w:t>A Monetary History of the US, 1867-1960</w:t>
      </w:r>
      <w:r>
        <w:rPr>
          <w:rStyle w:val="Hyperlink"/>
          <w:rFonts w:asciiTheme="majorBidi" w:hAnsiTheme="majorBidi" w:cstheme="majorBidi"/>
          <w:color w:val="auto"/>
          <w:sz w:val="24"/>
          <w:szCs w:val="24"/>
          <w:u w:val="none"/>
        </w:rPr>
        <w:t>,</w:t>
      </w:r>
      <w:r w:rsidRPr="002D5CEF">
        <w:rPr>
          <w:rStyle w:val="Hyperlink"/>
          <w:rFonts w:asciiTheme="majorBidi" w:hAnsiTheme="majorBidi" w:cstheme="majorBidi"/>
          <w:color w:val="auto"/>
          <w:sz w:val="24"/>
          <w:szCs w:val="24"/>
          <w:u w:val="none"/>
        </w:rPr>
        <w:t xml:space="preserve"> Princeton, Princeton University Press.</w:t>
      </w:r>
      <w:proofErr w:type="gramEnd"/>
    </w:p>
    <w:p w:rsidR="00402D30" w:rsidRDefault="00402D30" w:rsidP="000870F5">
      <w:pPr>
        <w:autoSpaceDE w:val="0"/>
        <w:autoSpaceDN w:val="0"/>
        <w:adjustRightInd w:val="0"/>
        <w:rPr>
          <w:rFonts w:asciiTheme="majorBidi" w:hAnsiTheme="majorBidi" w:cstheme="majorBidi"/>
          <w:sz w:val="24"/>
          <w:szCs w:val="24"/>
        </w:rPr>
      </w:pPr>
      <w:proofErr w:type="spellStart"/>
      <w:proofErr w:type="gramStart"/>
      <w:r>
        <w:rPr>
          <w:rFonts w:asciiTheme="majorBidi" w:hAnsiTheme="majorBidi" w:cstheme="majorBidi"/>
          <w:sz w:val="24"/>
          <w:szCs w:val="24"/>
        </w:rPr>
        <w:t>Gali</w:t>
      </w:r>
      <w:proofErr w:type="spellEnd"/>
      <w:r>
        <w:rPr>
          <w:rFonts w:asciiTheme="majorBidi" w:hAnsiTheme="majorBidi" w:cstheme="majorBidi"/>
          <w:sz w:val="24"/>
          <w:szCs w:val="24"/>
        </w:rPr>
        <w:t xml:space="preserve"> J. (2008), </w:t>
      </w:r>
      <w:r>
        <w:rPr>
          <w:rFonts w:asciiTheme="majorBidi" w:hAnsiTheme="majorBidi" w:cstheme="majorBidi"/>
          <w:b/>
          <w:bCs/>
          <w:sz w:val="24"/>
          <w:szCs w:val="24"/>
        </w:rPr>
        <w:t>Monetary Policy, Inflation, and the Business Cycle</w:t>
      </w:r>
      <w:r>
        <w:rPr>
          <w:rFonts w:asciiTheme="majorBidi" w:hAnsiTheme="majorBidi" w:cstheme="majorBidi"/>
          <w:sz w:val="24"/>
          <w:szCs w:val="24"/>
        </w:rPr>
        <w:t>, Princeton University Press, Princeton, NJ.</w:t>
      </w:r>
      <w:proofErr w:type="gramEnd"/>
    </w:p>
    <w:p w:rsidR="00246BD5" w:rsidRDefault="00076A26" w:rsidP="000870F5">
      <w:pPr>
        <w:autoSpaceDE w:val="0"/>
        <w:autoSpaceDN w:val="0"/>
        <w:adjustRightInd w:val="0"/>
        <w:rPr>
          <w:rFonts w:asciiTheme="majorBidi" w:hAnsiTheme="majorBidi" w:cstheme="majorBidi"/>
          <w:sz w:val="24"/>
          <w:szCs w:val="24"/>
        </w:rPr>
      </w:pPr>
      <w:proofErr w:type="spellStart"/>
      <w:r w:rsidRPr="00B228F5">
        <w:rPr>
          <w:rFonts w:asciiTheme="majorBidi" w:hAnsiTheme="majorBidi" w:cstheme="majorBidi"/>
          <w:sz w:val="24"/>
          <w:szCs w:val="24"/>
        </w:rPr>
        <w:t>Ghirardato</w:t>
      </w:r>
      <w:proofErr w:type="spellEnd"/>
      <w:r w:rsidRPr="00B228F5">
        <w:rPr>
          <w:rFonts w:asciiTheme="majorBidi" w:hAnsiTheme="majorBidi" w:cstheme="majorBidi"/>
          <w:sz w:val="24"/>
          <w:szCs w:val="24"/>
        </w:rPr>
        <w:t xml:space="preserve"> </w:t>
      </w:r>
      <w:r>
        <w:rPr>
          <w:rFonts w:asciiTheme="majorBidi" w:hAnsiTheme="majorBidi" w:cstheme="majorBidi"/>
          <w:sz w:val="24"/>
          <w:szCs w:val="24"/>
        </w:rPr>
        <w:t xml:space="preserve">P. </w:t>
      </w:r>
      <w:r w:rsidRPr="00B228F5">
        <w:rPr>
          <w:rFonts w:asciiTheme="majorBidi" w:hAnsiTheme="majorBidi" w:cstheme="majorBidi"/>
          <w:sz w:val="24"/>
          <w:szCs w:val="24"/>
        </w:rPr>
        <w:t xml:space="preserve">and </w:t>
      </w:r>
      <w:r>
        <w:rPr>
          <w:rFonts w:asciiTheme="majorBidi" w:hAnsiTheme="majorBidi" w:cstheme="majorBidi"/>
          <w:sz w:val="24"/>
          <w:szCs w:val="24"/>
        </w:rPr>
        <w:t xml:space="preserve">M. </w:t>
      </w:r>
      <w:proofErr w:type="spellStart"/>
      <w:r w:rsidRPr="00B228F5">
        <w:rPr>
          <w:rFonts w:asciiTheme="majorBidi" w:hAnsiTheme="majorBidi" w:cstheme="majorBidi"/>
          <w:sz w:val="24"/>
          <w:szCs w:val="24"/>
        </w:rPr>
        <w:t>Marinacci</w:t>
      </w:r>
      <w:proofErr w:type="spellEnd"/>
      <w:r w:rsidRPr="00B228F5">
        <w:rPr>
          <w:rFonts w:asciiTheme="majorBidi" w:hAnsiTheme="majorBidi" w:cstheme="majorBidi"/>
          <w:sz w:val="24"/>
          <w:szCs w:val="24"/>
        </w:rPr>
        <w:t xml:space="preserve"> (2002)</w:t>
      </w:r>
      <w:r>
        <w:rPr>
          <w:rFonts w:asciiTheme="majorBidi" w:hAnsiTheme="majorBidi" w:cstheme="majorBidi"/>
          <w:sz w:val="24"/>
          <w:szCs w:val="24"/>
        </w:rPr>
        <w:t xml:space="preserve">, “Ambiguity Made </w:t>
      </w:r>
      <w:proofErr w:type="gramStart"/>
      <w:r>
        <w:rPr>
          <w:rFonts w:asciiTheme="majorBidi" w:hAnsiTheme="majorBidi" w:cstheme="majorBidi"/>
          <w:sz w:val="24"/>
          <w:szCs w:val="24"/>
        </w:rPr>
        <w:t>Precise :</w:t>
      </w:r>
      <w:proofErr w:type="gramEnd"/>
      <w:r>
        <w:rPr>
          <w:rFonts w:asciiTheme="majorBidi" w:hAnsiTheme="majorBidi" w:cstheme="majorBidi"/>
          <w:sz w:val="24"/>
          <w:szCs w:val="24"/>
        </w:rPr>
        <w:t xml:space="preserve"> A Comparative Foundation”, </w:t>
      </w:r>
      <w:r>
        <w:rPr>
          <w:rFonts w:asciiTheme="majorBidi" w:hAnsiTheme="majorBidi" w:cstheme="majorBidi"/>
          <w:b/>
          <w:bCs/>
          <w:sz w:val="24"/>
          <w:szCs w:val="24"/>
        </w:rPr>
        <w:t>Journal of Economic Theory</w:t>
      </w:r>
      <w:r>
        <w:rPr>
          <w:rFonts w:asciiTheme="majorBidi" w:hAnsiTheme="majorBidi" w:cstheme="majorBidi"/>
          <w:sz w:val="24"/>
          <w:szCs w:val="24"/>
        </w:rPr>
        <w:t xml:space="preserve">, 102(2), 251-289.  </w:t>
      </w:r>
    </w:p>
    <w:p w:rsidR="0054785E" w:rsidRDefault="0054785E" w:rsidP="000870F5">
      <w:pPr>
        <w:autoSpaceDE w:val="0"/>
        <w:autoSpaceDN w:val="0"/>
        <w:adjustRightInd w:val="0"/>
        <w:rPr>
          <w:rFonts w:asciiTheme="majorBidi" w:hAnsiTheme="majorBidi" w:cstheme="majorBidi"/>
          <w:sz w:val="24"/>
          <w:szCs w:val="24"/>
        </w:rPr>
      </w:pPr>
      <w:proofErr w:type="gramStart"/>
      <w:r w:rsidRPr="0054785E">
        <w:rPr>
          <w:rFonts w:asciiTheme="majorBidi" w:hAnsiTheme="majorBidi" w:cstheme="majorBidi"/>
          <w:sz w:val="24"/>
          <w:szCs w:val="24"/>
        </w:rPr>
        <w:t>Gilboa, I, and D. Schmeidler (1989).</w:t>
      </w:r>
      <w:proofErr w:type="gramEnd"/>
      <w:r w:rsidR="00076A26">
        <w:rPr>
          <w:rFonts w:asciiTheme="majorBidi" w:hAnsiTheme="majorBidi" w:cstheme="majorBidi"/>
          <w:sz w:val="24"/>
          <w:szCs w:val="24"/>
        </w:rPr>
        <w:t xml:space="preserve"> “</w:t>
      </w:r>
      <w:proofErr w:type="spellStart"/>
      <w:r w:rsidR="00076A26">
        <w:rPr>
          <w:rFonts w:asciiTheme="majorBidi" w:hAnsiTheme="majorBidi" w:cstheme="majorBidi"/>
          <w:sz w:val="24"/>
          <w:szCs w:val="24"/>
        </w:rPr>
        <w:t>Maxmin</w:t>
      </w:r>
      <w:proofErr w:type="spellEnd"/>
      <w:r w:rsidR="00076A26">
        <w:rPr>
          <w:rFonts w:asciiTheme="majorBidi" w:hAnsiTheme="majorBidi" w:cstheme="majorBidi"/>
          <w:sz w:val="24"/>
          <w:szCs w:val="24"/>
        </w:rPr>
        <w:t xml:space="preserve"> Expected Utility with Non-unique P</w:t>
      </w:r>
      <w:r w:rsidRPr="0054785E">
        <w:rPr>
          <w:rFonts w:asciiTheme="majorBidi" w:hAnsiTheme="majorBidi" w:cstheme="majorBidi"/>
          <w:sz w:val="24"/>
          <w:szCs w:val="24"/>
        </w:rPr>
        <w:t xml:space="preserve">rior,” </w:t>
      </w:r>
      <w:r w:rsidRPr="0054785E">
        <w:rPr>
          <w:rFonts w:asciiTheme="majorBidi" w:hAnsiTheme="majorBidi" w:cstheme="majorBidi"/>
          <w:b/>
          <w:bCs/>
          <w:sz w:val="24"/>
          <w:szCs w:val="24"/>
        </w:rPr>
        <w:t>Journal of Mathematical Economics</w:t>
      </w:r>
      <w:r w:rsidRPr="0054785E">
        <w:rPr>
          <w:rFonts w:asciiTheme="majorBidi" w:hAnsiTheme="majorBidi" w:cstheme="majorBidi"/>
          <w:sz w:val="24"/>
          <w:szCs w:val="24"/>
        </w:rPr>
        <w:t>, 18(2): 141-153, April.</w:t>
      </w:r>
    </w:p>
    <w:p w:rsidR="00C4776C" w:rsidRDefault="00C4776C" w:rsidP="00C4776C">
      <w:pPr>
        <w:autoSpaceDE w:val="0"/>
        <w:autoSpaceDN w:val="0"/>
        <w:adjustRightInd w:val="0"/>
        <w:rPr>
          <w:rFonts w:asciiTheme="majorBidi" w:hAnsiTheme="majorBidi" w:cstheme="majorBidi"/>
          <w:sz w:val="24"/>
          <w:szCs w:val="24"/>
        </w:rPr>
      </w:pPr>
      <w:proofErr w:type="gramStart"/>
      <w:r>
        <w:rPr>
          <w:rFonts w:asciiTheme="majorBidi" w:hAnsiTheme="majorBidi" w:cstheme="majorBidi"/>
          <w:sz w:val="24"/>
          <w:szCs w:val="24"/>
        </w:rPr>
        <w:t xml:space="preserve">Hansen L and T. Sargent (2008), </w:t>
      </w:r>
      <w:r>
        <w:rPr>
          <w:rFonts w:asciiTheme="majorBidi" w:hAnsiTheme="majorBidi" w:cstheme="majorBidi"/>
          <w:b/>
          <w:bCs/>
          <w:sz w:val="24"/>
          <w:szCs w:val="24"/>
        </w:rPr>
        <w:t>Robustness</w:t>
      </w:r>
      <w:r>
        <w:rPr>
          <w:rFonts w:asciiTheme="majorBidi" w:hAnsiTheme="majorBidi" w:cstheme="majorBidi"/>
          <w:sz w:val="24"/>
          <w:szCs w:val="24"/>
        </w:rPr>
        <w:t>, Princeton University Press, Princeton, NJ.</w:t>
      </w:r>
      <w:proofErr w:type="gramEnd"/>
    </w:p>
    <w:p w:rsidR="009B1A63" w:rsidRPr="009B1A63" w:rsidRDefault="009B1A63" w:rsidP="009B1A63">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Issing</w:t>
      </w:r>
      <w:proofErr w:type="spellEnd"/>
      <w:r>
        <w:rPr>
          <w:rFonts w:ascii="Times New Roman" w:hAnsi="Times New Roman" w:cs="Times New Roman"/>
          <w:sz w:val="24"/>
          <w:szCs w:val="24"/>
        </w:rPr>
        <w:t>, O. (2012),</w:t>
      </w:r>
      <w:r w:rsidRPr="009B1A63">
        <w:rPr>
          <w:rFonts w:ascii="Times New Roman" w:hAnsi="Times New Roman" w:cs="Times New Roman"/>
          <w:sz w:val="24"/>
          <w:szCs w:val="24"/>
        </w:rPr>
        <w:t xml:space="preserve"> “Central Banks – Paradise Lost.” </w:t>
      </w:r>
      <w:proofErr w:type="spellStart"/>
      <w:r w:rsidRPr="009B1A63">
        <w:rPr>
          <w:rFonts w:ascii="Times New Roman" w:hAnsi="Times New Roman" w:cs="Times New Roman"/>
          <w:sz w:val="24"/>
          <w:szCs w:val="24"/>
        </w:rPr>
        <w:t>Mayekawa</w:t>
      </w:r>
      <w:proofErr w:type="spellEnd"/>
      <w:r w:rsidRPr="009B1A63">
        <w:rPr>
          <w:rFonts w:ascii="Times New Roman" w:hAnsi="Times New Roman" w:cs="Times New Roman"/>
          <w:sz w:val="24"/>
          <w:szCs w:val="24"/>
        </w:rPr>
        <w:t xml:space="preserve"> Lecture,</w:t>
      </w:r>
    </w:p>
    <w:p w:rsidR="00A24B64" w:rsidRDefault="009B1A63" w:rsidP="00A24B64">
      <w:pPr>
        <w:autoSpaceDE w:val="0"/>
        <w:autoSpaceDN w:val="0"/>
        <w:adjustRightInd w:val="0"/>
        <w:rPr>
          <w:rFonts w:asciiTheme="majorBidi" w:hAnsiTheme="majorBidi" w:cstheme="majorBidi"/>
          <w:sz w:val="24"/>
          <w:szCs w:val="24"/>
        </w:rPr>
      </w:pPr>
      <w:r w:rsidRPr="009B1A63">
        <w:rPr>
          <w:rFonts w:ascii="Times New Roman" w:hAnsi="Times New Roman" w:cs="Times New Roman"/>
          <w:sz w:val="24"/>
          <w:szCs w:val="24"/>
        </w:rPr>
        <w:t>Institute for Monetary and Economic Studies, Bank of Japan, Tokyo, May.</w:t>
      </w:r>
    </w:p>
    <w:p w:rsidR="00076A26" w:rsidRDefault="00076A26" w:rsidP="00A24B64">
      <w:pPr>
        <w:autoSpaceDE w:val="0"/>
        <w:autoSpaceDN w:val="0"/>
        <w:adjustRightInd w:val="0"/>
        <w:rPr>
          <w:rFonts w:asciiTheme="majorBidi" w:hAnsiTheme="majorBidi" w:cstheme="majorBidi"/>
          <w:sz w:val="24"/>
          <w:szCs w:val="24"/>
        </w:rPr>
      </w:pPr>
      <w:proofErr w:type="spellStart"/>
      <w:proofErr w:type="gramStart"/>
      <w:r>
        <w:rPr>
          <w:rFonts w:asciiTheme="majorBidi" w:hAnsiTheme="majorBidi" w:cstheme="majorBidi"/>
          <w:sz w:val="24"/>
          <w:szCs w:val="24"/>
        </w:rPr>
        <w:t>Javidi</w:t>
      </w:r>
      <w:proofErr w:type="spellEnd"/>
      <w:r>
        <w:rPr>
          <w:rFonts w:asciiTheme="majorBidi" w:hAnsiTheme="majorBidi" w:cstheme="majorBidi"/>
          <w:sz w:val="24"/>
          <w:szCs w:val="24"/>
        </w:rPr>
        <w:t xml:space="preserve"> H. and M. </w:t>
      </w:r>
      <w:proofErr w:type="spellStart"/>
      <w:r>
        <w:rPr>
          <w:rFonts w:asciiTheme="majorBidi" w:hAnsiTheme="majorBidi" w:cstheme="majorBidi"/>
          <w:sz w:val="24"/>
          <w:szCs w:val="24"/>
        </w:rPr>
        <w:t>Yadollahie</w:t>
      </w:r>
      <w:proofErr w:type="spellEnd"/>
      <w:r>
        <w:rPr>
          <w:rFonts w:asciiTheme="majorBidi" w:hAnsiTheme="majorBidi" w:cstheme="majorBidi"/>
          <w:sz w:val="24"/>
          <w:szCs w:val="24"/>
        </w:rPr>
        <w:t xml:space="preserve"> (2012), “Post-Traumatic Stress Disorder”, </w:t>
      </w:r>
      <w:r>
        <w:rPr>
          <w:rFonts w:asciiTheme="majorBidi" w:hAnsiTheme="majorBidi" w:cstheme="majorBidi"/>
          <w:b/>
          <w:bCs/>
          <w:sz w:val="24"/>
          <w:szCs w:val="24"/>
        </w:rPr>
        <w:t>Occupational and Environmental Medicine (Review)</w:t>
      </w:r>
      <w:r>
        <w:rPr>
          <w:rFonts w:asciiTheme="majorBidi" w:hAnsiTheme="majorBidi" w:cstheme="majorBidi"/>
          <w:sz w:val="24"/>
          <w:szCs w:val="24"/>
        </w:rPr>
        <w:t>, 3(1), January, 2-9.</w:t>
      </w:r>
      <w:proofErr w:type="gramEnd"/>
      <w:r>
        <w:rPr>
          <w:rFonts w:asciiTheme="majorBidi" w:hAnsiTheme="majorBidi" w:cstheme="majorBidi"/>
          <w:sz w:val="24"/>
          <w:szCs w:val="24"/>
        </w:rPr>
        <w:t xml:space="preserve"> </w:t>
      </w:r>
    </w:p>
    <w:p w:rsidR="00076A26" w:rsidRDefault="00076A26" w:rsidP="000870F5">
      <w:pPr>
        <w:autoSpaceDE w:val="0"/>
        <w:autoSpaceDN w:val="0"/>
        <w:adjustRightInd w:val="0"/>
        <w:rPr>
          <w:rFonts w:asciiTheme="majorBidi" w:hAnsiTheme="majorBidi" w:cstheme="majorBidi"/>
          <w:sz w:val="24"/>
          <w:szCs w:val="24"/>
        </w:rPr>
      </w:pPr>
      <w:proofErr w:type="spellStart"/>
      <w:proofErr w:type="gramStart"/>
      <w:r>
        <w:rPr>
          <w:rFonts w:asciiTheme="majorBidi" w:hAnsiTheme="majorBidi" w:cstheme="majorBidi"/>
          <w:sz w:val="24"/>
          <w:szCs w:val="24"/>
        </w:rPr>
        <w:lastRenderedPageBreak/>
        <w:t>Klibanoff</w:t>
      </w:r>
      <w:proofErr w:type="spellEnd"/>
      <w:r>
        <w:rPr>
          <w:rFonts w:asciiTheme="majorBidi" w:hAnsiTheme="majorBidi" w:cstheme="majorBidi"/>
          <w:sz w:val="24"/>
          <w:szCs w:val="24"/>
        </w:rPr>
        <w:t xml:space="preserve"> P., M. </w:t>
      </w:r>
      <w:proofErr w:type="spellStart"/>
      <w:r>
        <w:rPr>
          <w:rFonts w:asciiTheme="majorBidi" w:hAnsiTheme="majorBidi" w:cstheme="majorBidi"/>
          <w:sz w:val="24"/>
          <w:szCs w:val="24"/>
        </w:rPr>
        <w:t>Marinacci</w:t>
      </w:r>
      <w:proofErr w:type="spellEnd"/>
      <w:r>
        <w:rPr>
          <w:rFonts w:asciiTheme="majorBidi" w:hAnsiTheme="majorBidi" w:cstheme="majorBidi"/>
          <w:sz w:val="24"/>
          <w:szCs w:val="24"/>
        </w:rPr>
        <w:t xml:space="preserve"> and S. Mukerji (2005), “A Smooth Model of Decision Making Under Ambiguity”, </w:t>
      </w:r>
      <w:proofErr w:type="spellStart"/>
      <w:r>
        <w:rPr>
          <w:rFonts w:asciiTheme="majorBidi" w:hAnsiTheme="majorBidi" w:cstheme="majorBidi"/>
          <w:b/>
          <w:bCs/>
          <w:sz w:val="24"/>
          <w:szCs w:val="24"/>
        </w:rPr>
        <w:t>Econometrica</w:t>
      </w:r>
      <w:proofErr w:type="spellEnd"/>
      <w:r>
        <w:rPr>
          <w:rFonts w:asciiTheme="majorBidi" w:hAnsiTheme="majorBidi" w:cstheme="majorBidi"/>
          <w:sz w:val="24"/>
          <w:szCs w:val="24"/>
        </w:rPr>
        <w:t>, 73(6)</w:t>
      </w:r>
      <w:r w:rsidR="00B16FC2">
        <w:rPr>
          <w:rFonts w:asciiTheme="majorBidi" w:hAnsiTheme="majorBidi" w:cstheme="majorBidi"/>
          <w:sz w:val="24"/>
          <w:szCs w:val="24"/>
        </w:rPr>
        <w:t>, 1849-1892.</w:t>
      </w:r>
      <w:proofErr w:type="gramEnd"/>
      <w:r w:rsidR="00B16FC2">
        <w:rPr>
          <w:rFonts w:asciiTheme="majorBidi" w:hAnsiTheme="majorBidi" w:cstheme="majorBidi"/>
          <w:sz w:val="24"/>
          <w:szCs w:val="24"/>
        </w:rPr>
        <w:t xml:space="preserve"> </w:t>
      </w:r>
    </w:p>
    <w:p w:rsidR="00402D30" w:rsidRPr="00C4776C" w:rsidRDefault="00402D30" w:rsidP="00C4776C">
      <w:pPr>
        <w:autoSpaceDE w:val="0"/>
        <w:autoSpaceDN w:val="0"/>
        <w:adjustRightInd w:val="0"/>
        <w:rPr>
          <w:rFonts w:ascii="TTdcr10" w:hAnsi="TTdcr10" w:cs="TTdcr10"/>
          <w:sz w:val="24"/>
          <w:szCs w:val="24"/>
        </w:rPr>
      </w:pPr>
      <w:proofErr w:type="spellStart"/>
      <w:r>
        <w:rPr>
          <w:rFonts w:ascii="TTdcr10" w:hAnsi="TTdcr10" w:cs="TTdcr10"/>
          <w:sz w:val="24"/>
          <w:szCs w:val="24"/>
        </w:rPr>
        <w:t>Lach</w:t>
      </w:r>
      <w:proofErr w:type="spellEnd"/>
      <w:r>
        <w:rPr>
          <w:rFonts w:ascii="TTdcr10" w:hAnsi="TTdcr10" w:cs="TTdcr10"/>
          <w:sz w:val="24"/>
          <w:szCs w:val="24"/>
        </w:rPr>
        <w:t xml:space="preserve"> S. and D. </w:t>
      </w:r>
      <w:proofErr w:type="spellStart"/>
      <w:r>
        <w:rPr>
          <w:rFonts w:ascii="TTdcr10" w:hAnsi="TTdcr10" w:cs="TTdcr10"/>
          <w:sz w:val="24"/>
          <w:szCs w:val="24"/>
        </w:rPr>
        <w:t>Tsiddon</w:t>
      </w:r>
      <w:proofErr w:type="spellEnd"/>
      <w:r>
        <w:rPr>
          <w:rFonts w:ascii="TTdcr10" w:hAnsi="TTdcr10" w:cs="TTdcr10"/>
          <w:sz w:val="24"/>
          <w:szCs w:val="24"/>
        </w:rPr>
        <w:t xml:space="preserve"> (1992), "The Behavior of Prices and Inflation: An </w:t>
      </w:r>
      <w:proofErr w:type="spellStart"/>
      <w:r>
        <w:rPr>
          <w:rFonts w:ascii="TTdcr10" w:hAnsi="TTdcr10" w:cs="TTdcr10"/>
          <w:sz w:val="24"/>
          <w:szCs w:val="24"/>
        </w:rPr>
        <w:t>EmpiricalAnalysis</w:t>
      </w:r>
      <w:proofErr w:type="spellEnd"/>
      <w:r>
        <w:rPr>
          <w:rFonts w:ascii="TTdcr10" w:hAnsi="TTdcr10" w:cs="TTdcr10"/>
          <w:sz w:val="24"/>
          <w:szCs w:val="24"/>
        </w:rPr>
        <w:t xml:space="preserve"> of Disaggregated Price Data", </w:t>
      </w:r>
      <w:r w:rsidRPr="0060357B">
        <w:rPr>
          <w:rFonts w:ascii="TTdcbx10" w:hAnsi="TTdcbx10" w:cs="TTdcbx10"/>
          <w:b/>
          <w:bCs/>
          <w:sz w:val="24"/>
          <w:szCs w:val="24"/>
        </w:rPr>
        <w:t>Journal of Political Economy</w:t>
      </w:r>
      <w:r>
        <w:rPr>
          <w:rFonts w:ascii="TTdcr10" w:hAnsi="TTdcr10" w:cs="TTdcr10"/>
          <w:sz w:val="24"/>
          <w:szCs w:val="24"/>
        </w:rPr>
        <w:t>, 100(2), 349-389, April.</w:t>
      </w:r>
    </w:p>
    <w:p w:rsidR="00426C1E" w:rsidRDefault="003E7FC6" w:rsidP="000870F5">
      <w:pPr>
        <w:tabs>
          <w:tab w:val="left" w:pos="10020"/>
        </w:tabs>
        <w:autoSpaceDE w:val="0"/>
        <w:autoSpaceDN w:val="0"/>
        <w:adjustRightInd w:val="0"/>
        <w:rPr>
          <w:rFonts w:asciiTheme="majorBidi" w:hAnsiTheme="majorBidi" w:cstheme="majorBidi"/>
          <w:sz w:val="24"/>
          <w:szCs w:val="24"/>
        </w:rPr>
      </w:pPr>
      <w:proofErr w:type="spellStart"/>
      <w:r w:rsidRPr="003E7FC6">
        <w:rPr>
          <w:rFonts w:asciiTheme="majorBidi" w:hAnsiTheme="majorBidi" w:cstheme="majorBidi"/>
          <w:sz w:val="24"/>
          <w:szCs w:val="24"/>
        </w:rPr>
        <w:t>Taleb</w:t>
      </w:r>
      <w:proofErr w:type="spellEnd"/>
      <w:r w:rsidRPr="003E7FC6">
        <w:rPr>
          <w:rFonts w:asciiTheme="majorBidi" w:hAnsiTheme="majorBidi" w:cstheme="majorBidi"/>
          <w:sz w:val="24"/>
          <w:szCs w:val="24"/>
        </w:rPr>
        <w:t xml:space="preserve"> N. (2007), </w:t>
      </w:r>
      <w:proofErr w:type="gramStart"/>
      <w:r w:rsidRPr="003E7FC6">
        <w:rPr>
          <w:rFonts w:asciiTheme="majorBidi" w:hAnsiTheme="majorBidi" w:cstheme="majorBidi"/>
          <w:b/>
          <w:bCs/>
          <w:sz w:val="24"/>
          <w:szCs w:val="24"/>
        </w:rPr>
        <w:t>The</w:t>
      </w:r>
      <w:proofErr w:type="gramEnd"/>
      <w:r w:rsidRPr="003E7FC6">
        <w:rPr>
          <w:rFonts w:asciiTheme="majorBidi" w:hAnsiTheme="majorBidi" w:cstheme="majorBidi"/>
          <w:b/>
          <w:bCs/>
          <w:sz w:val="24"/>
          <w:szCs w:val="24"/>
        </w:rPr>
        <w:t xml:space="preserve"> Black Swan: The Impact of the Highly Improbable, </w:t>
      </w:r>
      <w:r w:rsidR="00C4776C">
        <w:rPr>
          <w:rFonts w:asciiTheme="majorBidi" w:hAnsiTheme="majorBidi" w:cstheme="majorBidi"/>
          <w:sz w:val="24"/>
          <w:szCs w:val="24"/>
        </w:rPr>
        <w:t xml:space="preserve">Random </w:t>
      </w:r>
      <w:r w:rsidRPr="003E7FC6">
        <w:rPr>
          <w:rFonts w:asciiTheme="majorBidi" w:hAnsiTheme="majorBidi" w:cstheme="majorBidi"/>
          <w:sz w:val="24"/>
          <w:szCs w:val="24"/>
        </w:rPr>
        <w:t xml:space="preserve">House Group  </w:t>
      </w:r>
    </w:p>
    <w:p w:rsidR="00B717F0" w:rsidRPr="00B717F0" w:rsidRDefault="00B717F0" w:rsidP="000870F5">
      <w:pPr>
        <w:tabs>
          <w:tab w:val="left" w:pos="10020"/>
        </w:tabs>
        <w:autoSpaceDE w:val="0"/>
        <w:autoSpaceDN w:val="0"/>
        <w:adjustRightInd w:val="0"/>
        <w:rPr>
          <w:rFonts w:asciiTheme="majorBidi" w:hAnsiTheme="majorBidi" w:cstheme="majorBidi"/>
          <w:sz w:val="24"/>
          <w:szCs w:val="24"/>
        </w:rPr>
      </w:pPr>
      <w:r>
        <w:rPr>
          <w:rFonts w:asciiTheme="majorBidi" w:hAnsiTheme="majorBidi" w:cstheme="majorBidi"/>
          <w:sz w:val="24"/>
          <w:szCs w:val="24"/>
        </w:rPr>
        <w:t xml:space="preserve">Woodford M. (2003), </w:t>
      </w:r>
      <w:r>
        <w:rPr>
          <w:rFonts w:asciiTheme="majorBidi" w:hAnsiTheme="majorBidi" w:cstheme="majorBidi"/>
          <w:b/>
          <w:bCs/>
          <w:sz w:val="24"/>
          <w:szCs w:val="24"/>
        </w:rPr>
        <w:t>Interest and Prices</w:t>
      </w:r>
      <w:r>
        <w:rPr>
          <w:rFonts w:asciiTheme="majorBidi" w:hAnsiTheme="majorBidi" w:cstheme="majorBidi"/>
          <w:sz w:val="24"/>
          <w:szCs w:val="24"/>
        </w:rPr>
        <w:t>, Princeton University Press, Princeton, NJ</w:t>
      </w:r>
    </w:p>
    <w:sectPr w:rsidR="00B717F0" w:rsidRPr="00B717F0" w:rsidSect="003F10CF">
      <w:pgSz w:w="12240" w:h="15840"/>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A05" w:rsidRDefault="00474A05" w:rsidP="00912ECC">
      <w:pPr>
        <w:spacing w:after="0" w:line="240" w:lineRule="auto"/>
      </w:pPr>
      <w:r>
        <w:separator/>
      </w:r>
    </w:p>
  </w:endnote>
  <w:endnote w:type="continuationSeparator" w:id="0">
    <w:p w:rsidR="00474A05" w:rsidRDefault="00474A05" w:rsidP="00912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dcr10">
    <w:altName w:val="Times New Roman"/>
    <w:panose1 w:val="00000000000000000000"/>
    <w:charset w:val="00"/>
    <w:family w:val="auto"/>
    <w:notTrueType/>
    <w:pitch w:val="default"/>
    <w:sig w:usb0="00000003" w:usb1="00000000" w:usb2="00000000" w:usb3="00000000" w:csb0="00000001" w:csb1="00000000"/>
  </w:font>
  <w:font w:name="TTdcbx1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547615"/>
      <w:docPartObj>
        <w:docPartGallery w:val="Page Numbers (Bottom of Page)"/>
        <w:docPartUnique/>
      </w:docPartObj>
    </w:sdtPr>
    <w:sdtEndPr>
      <w:rPr>
        <w:noProof/>
      </w:rPr>
    </w:sdtEndPr>
    <w:sdtContent>
      <w:p w:rsidR="00E66CD3" w:rsidRDefault="00E66CD3" w:rsidP="00270ECC">
        <w:pPr>
          <w:pStyle w:val="Footer"/>
          <w:jc w:val="center"/>
        </w:pPr>
        <w:r>
          <w:fldChar w:fldCharType="begin"/>
        </w:r>
        <w:r>
          <w:instrText xml:space="preserve"> PAGE   \* MERGEFORMAT </w:instrText>
        </w:r>
        <w:r>
          <w:fldChar w:fldCharType="separate"/>
        </w:r>
        <w:r w:rsidR="006425FE">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8971"/>
      <w:docPartObj>
        <w:docPartGallery w:val="Page Numbers (Bottom of Page)"/>
        <w:docPartUnique/>
      </w:docPartObj>
    </w:sdtPr>
    <w:sdtEndPr>
      <w:rPr>
        <w:noProof/>
      </w:rPr>
    </w:sdtEndPr>
    <w:sdtContent>
      <w:p w:rsidR="00E66CD3" w:rsidRDefault="00E66CD3">
        <w:pPr>
          <w:pStyle w:val="Footer"/>
          <w:jc w:val="center"/>
        </w:pPr>
        <w:r>
          <w:fldChar w:fldCharType="begin"/>
        </w:r>
        <w:r>
          <w:instrText xml:space="preserve"> PAGE   \* MERGEFORMAT </w:instrText>
        </w:r>
        <w:r>
          <w:fldChar w:fldCharType="separate"/>
        </w:r>
        <w:r w:rsidR="006425FE">
          <w:rPr>
            <w:noProof/>
          </w:rPr>
          <w:t>32</w:t>
        </w:r>
        <w:r>
          <w:rPr>
            <w:noProof/>
          </w:rPr>
          <w:fldChar w:fldCharType="end"/>
        </w:r>
      </w:p>
    </w:sdtContent>
  </w:sdt>
  <w:p w:rsidR="00E66CD3" w:rsidRDefault="00E66C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A05" w:rsidRDefault="00474A05" w:rsidP="00912ECC">
      <w:pPr>
        <w:spacing w:after="0" w:line="240" w:lineRule="auto"/>
      </w:pPr>
      <w:r>
        <w:separator/>
      </w:r>
    </w:p>
  </w:footnote>
  <w:footnote w:type="continuationSeparator" w:id="0">
    <w:p w:rsidR="00474A05" w:rsidRDefault="00474A05" w:rsidP="00912ECC">
      <w:pPr>
        <w:spacing w:after="0" w:line="240" w:lineRule="auto"/>
      </w:pPr>
      <w:r>
        <w:continuationSeparator/>
      </w:r>
    </w:p>
  </w:footnote>
  <w:footnote w:id="1">
    <w:p w:rsidR="00E66CD3" w:rsidRDefault="00E66CD3" w:rsidP="001B2D31">
      <w:pPr>
        <w:pStyle w:val="FootnoteText"/>
        <w:jc w:val="both"/>
      </w:pPr>
      <w:r>
        <w:rPr>
          <w:rStyle w:val="FootnoteReference"/>
        </w:rPr>
        <w:footnoteRef/>
      </w:r>
      <w:r>
        <w:t xml:space="preserve"> </w:t>
      </w:r>
      <w:proofErr w:type="gramStart"/>
      <w:r>
        <w:t>Interdisciplinary Center, Tel-Aviv University</w:t>
      </w:r>
      <w:r w:rsidR="000C4DCE">
        <w:t xml:space="preserve"> and CEPR.</w:t>
      </w:r>
      <w:proofErr w:type="gramEnd"/>
      <w:r>
        <w:t xml:space="preserve"> E-mail: </w:t>
      </w:r>
      <w:hyperlink r:id="rId1" w:history="1">
        <w:r w:rsidRPr="00C13A42">
          <w:rPr>
            <w:rStyle w:val="Hyperlink"/>
          </w:rPr>
          <w:t>alexcuk@post.tau.ac.il</w:t>
        </w:r>
      </w:hyperlink>
      <w:r w:rsidR="001B2D31">
        <w:t xml:space="preserve">. Omer </w:t>
      </w:r>
      <w:proofErr w:type="spellStart"/>
      <w:r w:rsidR="001B2D31">
        <w:t>Snir</w:t>
      </w:r>
      <w:proofErr w:type="spellEnd"/>
      <w:r w:rsidR="001B2D31">
        <w:t xml:space="preserve">, </w:t>
      </w:r>
      <w:r>
        <w:t xml:space="preserve">Nir Pinchasovitch </w:t>
      </w:r>
      <w:r w:rsidR="001B2D31">
        <w:t xml:space="preserve">and Gabi Gordon </w:t>
      </w:r>
      <w:r>
        <w:t xml:space="preserve">provided </w:t>
      </w:r>
      <w:r w:rsidR="001B2D31">
        <w:t xml:space="preserve">efficient research assistance. </w:t>
      </w:r>
      <w:r>
        <w:t xml:space="preserve">I benefitted from the reactions of </w:t>
      </w:r>
      <w:proofErr w:type="spellStart"/>
      <w:r>
        <w:t>Ady</w:t>
      </w:r>
      <w:proofErr w:type="spellEnd"/>
      <w:r>
        <w:t xml:space="preserve"> Pauzner, Zvi Hercowitz and conference participants on previous versions presented at the following conferences: The November 2013 Conference on “Banking, Finance, Money and Institutions: The Post Crisis Era” at the University of Surrey in the UK, the March 2014 Cost conference on “Failing to Learn and Learning to Fail” at </w:t>
      </w:r>
      <w:proofErr w:type="spellStart"/>
      <w:r>
        <w:t>Harokopio</w:t>
      </w:r>
      <w:proofErr w:type="spellEnd"/>
      <w:r>
        <w:t xml:space="preserve"> University in Athens, Greece, the June 2014 31</w:t>
      </w:r>
      <w:r w:rsidRPr="00735F3A">
        <w:rPr>
          <w:vertAlign w:val="superscript"/>
        </w:rPr>
        <w:t>st</w:t>
      </w:r>
      <w:r>
        <w:t xml:space="preserve"> SUERF Colloquium/</w:t>
      </w:r>
      <w:proofErr w:type="spellStart"/>
      <w:r>
        <w:t>Baffi</w:t>
      </w:r>
      <w:proofErr w:type="spellEnd"/>
      <w:r>
        <w:t xml:space="preserve"> </w:t>
      </w:r>
      <w:proofErr w:type="spellStart"/>
      <w:r>
        <w:t>Finlawmetrics</w:t>
      </w:r>
      <w:proofErr w:type="spellEnd"/>
      <w:r>
        <w:t xml:space="preserve"> Conference on “Money, Regulation &amp; Growth: Fin</w:t>
      </w:r>
      <w:r w:rsidR="008354D6">
        <w:t xml:space="preserve">ancing New Growth in Europe”, </w:t>
      </w:r>
      <w:r>
        <w:t>the June 2014, 17</w:t>
      </w:r>
      <w:r w:rsidRPr="00870063">
        <w:rPr>
          <w:vertAlign w:val="superscript"/>
        </w:rPr>
        <w:t>th</w:t>
      </w:r>
      <w:r>
        <w:t xml:space="preserve"> World Congress of the International Economic Association at the Dead Sea King Hussein</w:t>
      </w:r>
      <w:r w:rsidR="008354D6">
        <w:t xml:space="preserve"> Convention Center in Jordan, </w:t>
      </w:r>
      <w:r>
        <w:t>the September 2014 Swiss Nation</w:t>
      </w:r>
      <w:r w:rsidR="008354D6">
        <w:t xml:space="preserve">al Bank Research Conference, </w:t>
      </w:r>
      <w:r>
        <w:t>the October 2014, 3</w:t>
      </w:r>
      <w:r w:rsidRPr="006706A6">
        <w:rPr>
          <w:vertAlign w:val="superscript"/>
        </w:rPr>
        <w:t>rd</w:t>
      </w:r>
      <w:r>
        <w:t xml:space="preserve"> European Conference on Banking and the E</w:t>
      </w:r>
      <w:r w:rsidR="007E7C64">
        <w:t xml:space="preserve">conomy in Winchester, UK, </w:t>
      </w:r>
      <w:r>
        <w:t>the January 201</w:t>
      </w:r>
      <w:r w:rsidR="007E7C64">
        <w:t>5 Meeting of the AEA in Boston an</w:t>
      </w:r>
      <w:r w:rsidR="001B2D31">
        <w:t xml:space="preserve">d the </w:t>
      </w:r>
      <w:r w:rsidR="001F2954">
        <w:t xml:space="preserve">June 2015 IFABS Conference on “The Future of Financial Institutions and Markets: Navigating the Challenges Ahead” in Hangzhou, China.  </w:t>
      </w:r>
    </w:p>
    <w:p w:rsidR="00E66CD3" w:rsidRDefault="00E66CD3" w:rsidP="00870063">
      <w:pPr>
        <w:pStyle w:val="FootnoteText"/>
      </w:pPr>
    </w:p>
  </w:footnote>
  <w:footnote w:id="2">
    <w:p w:rsidR="00E66CD3" w:rsidRPr="00942821" w:rsidRDefault="00E66CD3" w:rsidP="00DE035D">
      <w:pPr>
        <w:pStyle w:val="FootnoteText"/>
        <w:rPr>
          <w:sz w:val="24"/>
          <w:szCs w:val="24"/>
        </w:rPr>
      </w:pPr>
      <w:r w:rsidRPr="0050368D">
        <w:rPr>
          <w:rStyle w:val="FootnoteReference"/>
          <w:sz w:val="24"/>
          <w:szCs w:val="24"/>
        </w:rPr>
        <w:footnoteRef/>
      </w:r>
      <w:r w:rsidRPr="0050368D">
        <w:rPr>
          <w:sz w:val="24"/>
          <w:szCs w:val="24"/>
        </w:rPr>
        <w:t xml:space="preserve"> </w:t>
      </w:r>
      <w:r w:rsidRPr="005F6A0B">
        <w:t>It even shrank by over 3.5% during 2009</w:t>
      </w:r>
      <w:r w:rsidRPr="00942821">
        <w:rPr>
          <w:sz w:val="24"/>
          <w:szCs w:val="24"/>
        </w:rPr>
        <w:t>.</w:t>
      </w:r>
    </w:p>
  </w:footnote>
  <w:footnote w:id="3">
    <w:p w:rsidR="00E66CD3" w:rsidRDefault="00E66CD3" w:rsidP="004A782E">
      <w:pPr>
        <w:pStyle w:val="FootnoteText"/>
      </w:pPr>
      <w:r>
        <w:rPr>
          <w:rStyle w:val="FootnoteReference"/>
        </w:rPr>
        <w:footnoteRef/>
      </w:r>
      <w:r>
        <w:t xml:space="preserve"> A precise definition of the term “probabilistic awareness” </w:t>
      </w:r>
      <w:proofErr w:type="gramStart"/>
      <w:r>
        <w:t>appears  later</w:t>
      </w:r>
      <w:proofErr w:type="gramEnd"/>
      <w:r>
        <w:t xml:space="preserve"> in this section. </w:t>
      </w:r>
    </w:p>
  </w:footnote>
  <w:footnote w:id="4">
    <w:p w:rsidR="00E66CD3" w:rsidRDefault="00E66CD3" w:rsidP="004A782E">
      <w:pPr>
        <w:pStyle w:val="FootnoteText"/>
      </w:pPr>
      <w:r>
        <w:rPr>
          <w:rStyle w:val="FootnoteReference"/>
        </w:rPr>
        <w:footnoteRef/>
      </w:r>
      <w:r>
        <w:t xml:space="preserve"> Hansen and Sargent (2008) use the idea of multiple priors to explore the consequences of parameter uncertainty for the behavior of the economy.  </w:t>
      </w:r>
    </w:p>
  </w:footnote>
  <w:footnote w:id="5">
    <w:p w:rsidR="00E66CD3" w:rsidRDefault="00E66CD3">
      <w:pPr>
        <w:pStyle w:val="FootnoteText"/>
      </w:pPr>
      <w:r>
        <w:rPr>
          <w:rStyle w:val="FootnoteReference"/>
        </w:rPr>
        <w:footnoteRef/>
      </w:r>
      <w:r>
        <w:t xml:space="preserve"> The probability masses have been drawn as uniform for simplicity. Any two probability masses over P such that the minimal value of the post Lehman support is lower than its counterpart in the pre-Lehman period can be used to convey the general idea of the figure. </w:t>
      </w:r>
    </w:p>
  </w:footnote>
  <w:footnote w:id="6">
    <w:p w:rsidR="00E66CD3" w:rsidRDefault="00E66CD3" w:rsidP="004A782E">
      <w:pPr>
        <w:pStyle w:val="FootnoteText"/>
      </w:pPr>
      <w:r>
        <w:rPr>
          <w:rStyle w:val="FootnoteReference"/>
        </w:rPr>
        <w:footnoteRef/>
      </w:r>
      <w:r>
        <w:t xml:space="preserve"> The adjective “probabilistic” is needed in order to distinguish it from the term “awareness” in modern decision theory. The latter refers to states of natures that individuals know might realize as opposed to states they are completely unware of like </w:t>
      </w:r>
      <w:proofErr w:type="spellStart"/>
      <w:r>
        <w:t>Taleb’s</w:t>
      </w:r>
      <w:proofErr w:type="spellEnd"/>
      <w:r>
        <w:t xml:space="preserve"> (2007) black swans prior to their discovery in Australia. Although Figure 5 assumes for simplicity that the distributions of binomial bailout probabilities both before and after Lehman’s collapse are uniform the arguments in the text do not depend on the particular form of those distributions. .  </w:t>
      </w:r>
    </w:p>
  </w:footnote>
  <w:footnote w:id="7">
    <w:p w:rsidR="00E66CD3" w:rsidRDefault="00E66CD3">
      <w:pPr>
        <w:pStyle w:val="FootnoteText"/>
      </w:pPr>
      <w:r>
        <w:rPr>
          <w:rStyle w:val="FootnoteReference"/>
        </w:rPr>
        <w:footnoteRef/>
      </w:r>
      <w:r>
        <w:t xml:space="preserve"> Details appear in Figure 4 below. In spite of some pickup during 2012 the cumulative rate of growth over 2011-2013 was substantially lower than in the pre-Lehman period.  </w:t>
      </w:r>
    </w:p>
  </w:footnote>
  <w:footnote w:id="8">
    <w:p w:rsidR="00E66CD3" w:rsidRDefault="00E66CD3">
      <w:pPr>
        <w:pStyle w:val="FootnoteText"/>
      </w:pPr>
      <w:r>
        <w:rPr>
          <w:rStyle w:val="FootnoteReference"/>
        </w:rPr>
        <w:footnoteRef/>
      </w:r>
      <w:r>
        <w:t xml:space="preserve"> The stock of US private bonds is about three times larger than the stock of banking credit. Further detail appears in section 5 of Cukierman (2014). </w:t>
      </w:r>
    </w:p>
  </w:footnote>
  <w:footnote w:id="9">
    <w:p w:rsidR="00E66CD3" w:rsidRDefault="00E66CD3">
      <w:pPr>
        <w:pStyle w:val="FootnoteText"/>
      </w:pPr>
      <w:r>
        <w:rPr>
          <w:rStyle w:val="FootnoteReference"/>
        </w:rPr>
        <w:footnoteRef/>
      </w:r>
      <w:r>
        <w:t xml:space="preserve"> By contrast, until </w:t>
      </w:r>
      <w:proofErr w:type="gramStart"/>
      <w:r>
        <w:t>2014  the</w:t>
      </w:r>
      <w:proofErr w:type="gramEnd"/>
      <w:r>
        <w:t xml:space="preserve"> ECB injected liquidity mainly through </w:t>
      </w:r>
      <w:proofErr w:type="spellStart"/>
      <w:r>
        <w:t>self liquidating</w:t>
      </w:r>
      <w:proofErr w:type="spellEnd"/>
      <w:r>
        <w:t xml:space="preserve"> repos. The consequences of those different policy procedures for the behavior of banking reserves are explored in Cukierman (2014). </w:t>
      </w:r>
    </w:p>
  </w:footnote>
  <w:footnote w:id="10">
    <w:p w:rsidR="00E66CD3" w:rsidRDefault="00E66CD3">
      <w:pPr>
        <w:pStyle w:val="FootnoteText"/>
      </w:pPr>
      <w:r>
        <w:rPr>
          <w:rStyle w:val="FootnoteReference"/>
        </w:rPr>
        <w:footnoteRef/>
      </w:r>
      <w:r>
        <w:t xml:space="preserve"> Based on extensive data for this period </w:t>
      </w:r>
      <w:proofErr w:type="spellStart"/>
      <w:r>
        <w:t>Bresciani-Turroni</w:t>
      </w:r>
      <w:proofErr w:type="spellEnd"/>
      <w:r>
        <w:t xml:space="preserve"> (1937) argues that the main driver of the German hyperinflation was the persistently high rate of monetary expansion.</w:t>
      </w:r>
    </w:p>
  </w:footnote>
  <w:footnote w:id="11">
    <w:p w:rsidR="00E66CD3" w:rsidRPr="00D429D9" w:rsidRDefault="00E66CD3" w:rsidP="003F6447">
      <w:pPr>
        <w:pStyle w:val="FootnoteText"/>
        <w:spacing w:line="360" w:lineRule="auto"/>
        <w:rPr>
          <w:sz w:val="24"/>
          <w:szCs w:val="24"/>
        </w:rPr>
      </w:pPr>
      <w:r>
        <w:rPr>
          <w:rStyle w:val="FootnoteReference"/>
        </w:rPr>
        <w:footnoteRef/>
      </w:r>
      <w:r>
        <w:t xml:space="preserve"> </w:t>
      </w:r>
      <w:r w:rsidRPr="00B41928">
        <w:t>Hence, by construction all four graphs start from a common base of 100.</w:t>
      </w:r>
      <w:r>
        <w:rPr>
          <w:sz w:val="24"/>
          <w:szCs w:val="24"/>
        </w:rPr>
        <w:t xml:space="preserve"> </w:t>
      </w:r>
    </w:p>
    <w:p w:rsidR="00E66CD3" w:rsidRDefault="00E66CD3" w:rsidP="003F6447">
      <w:pPr>
        <w:pStyle w:val="FootnoteText"/>
      </w:pPr>
    </w:p>
  </w:footnote>
  <w:footnote w:id="12">
    <w:p w:rsidR="00E66CD3" w:rsidRDefault="00E66CD3">
      <w:pPr>
        <w:pStyle w:val="FootnoteText"/>
      </w:pPr>
      <w:r>
        <w:rPr>
          <w:rStyle w:val="FootnoteReference"/>
        </w:rPr>
        <w:footnoteRef/>
      </w:r>
      <w:r>
        <w:t xml:space="preserve"> In both episodes the indices in the initial periods have been normalized to 1 rather than </w:t>
      </w:r>
      <w:proofErr w:type="gramStart"/>
      <w:r>
        <w:t>100  before</w:t>
      </w:r>
      <w:proofErr w:type="gramEnd"/>
      <w:r>
        <w:t xml:space="preserve"> applying  the logarithmic transformation. As a result all the four curves start from zero rather than 100.   </w:t>
      </w:r>
    </w:p>
  </w:footnote>
  <w:footnote w:id="13">
    <w:p w:rsidR="00E66CD3" w:rsidRDefault="00E66CD3">
      <w:pPr>
        <w:pStyle w:val="FootnoteText"/>
      </w:pPr>
      <w:r>
        <w:rPr>
          <w:rStyle w:val="FootnoteReference"/>
        </w:rPr>
        <w:footnoteRef/>
      </w:r>
      <w:r>
        <w:t xml:space="preserve"> A detailed discussion appears in section 7 of Cukierman (1988). </w:t>
      </w:r>
    </w:p>
  </w:footnote>
  <w:footnote w:id="14">
    <w:p w:rsidR="00E66CD3" w:rsidRDefault="00E66CD3">
      <w:pPr>
        <w:pStyle w:val="FootnoteText"/>
      </w:pPr>
      <w:r>
        <w:rPr>
          <w:rStyle w:val="FootnoteReference"/>
        </w:rPr>
        <w:footnoteRef/>
      </w:r>
      <w:r>
        <w:t xml:space="preserve"> Standard references on New-Keynesian models are Woodford (2003) and </w:t>
      </w:r>
      <w:proofErr w:type="spellStart"/>
      <w:r>
        <w:t>Gali</w:t>
      </w:r>
      <w:proofErr w:type="spellEnd"/>
      <w:r>
        <w:t xml:space="preserve"> (2008). </w:t>
      </w:r>
    </w:p>
  </w:footnote>
  <w:footnote w:id="15">
    <w:p w:rsidR="00E66CD3" w:rsidRDefault="00E66CD3">
      <w:pPr>
        <w:pStyle w:val="FootnoteText"/>
      </w:pPr>
      <w:r>
        <w:rPr>
          <w:rStyle w:val="FootnoteReference"/>
        </w:rPr>
        <w:footnoteRef/>
      </w:r>
      <w:r>
        <w:t xml:space="preserve"> In terms of the New-Keynesian model this means that the </w:t>
      </w:r>
      <w:proofErr w:type="spellStart"/>
      <w:r>
        <w:t>Calvo</w:t>
      </w:r>
      <w:proofErr w:type="spellEnd"/>
      <w:r>
        <w:t xml:space="preserve"> coefficient changes with the customary level of inflationary expectations. Evidence on this phenomenon </w:t>
      </w:r>
      <w:proofErr w:type="gramStart"/>
      <w:r>
        <w:t>appears,</w:t>
      </w:r>
      <w:proofErr w:type="gramEnd"/>
      <w:r>
        <w:t xml:space="preserve"> </w:t>
      </w:r>
      <w:proofErr w:type="spellStart"/>
      <w:r>
        <w:t>interalia</w:t>
      </w:r>
      <w:proofErr w:type="spellEnd"/>
      <w:r>
        <w:t xml:space="preserve">, in </w:t>
      </w:r>
      <w:proofErr w:type="spellStart"/>
      <w:r>
        <w:t>Lach</w:t>
      </w:r>
      <w:proofErr w:type="spellEnd"/>
      <w:r>
        <w:t xml:space="preserve"> and </w:t>
      </w:r>
      <w:proofErr w:type="spellStart"/>
      <w:r>
        <w:t>Tsiddon</w:t>
      </w:r>
      <w:proofErr w:type="spellEnd"/>
      <w:r>
        <w:t xml:space="preserve"> (1992) and in Cukierman (2008).   </w:t>
      </w:r>
    </w:p>
  </w:footnote>
  <w:footnote w:id="16">
    <w:p w:rsidR="00E66CD3" w:rsidRDefault="00E66CD3" w:rsidP="000A3E16">
      <w:pPr>
        <w:pStyle w:val="FootnoteText"/>
      </w:pPr>
      <w:r>
        <w:rPr>
          <w:rStyle w:val="FootnoteReference"/>
        </w:rPr>
        <w:footnoteRef/>
      </w:r>
      <w:r>
        <w:t xml:space="preserve"> </w:t>
      </w:r>
      <w:proofErr w:type="spellStart"/>
      <w:r>
        <w:t>Eichengreen</w:t>
      </w:r>
      <w:proofErr w:type="spellEnd"/>
      <w:r>
        <w:t xml:space="preserve"> (2011) refers to the ability of the US Government to borrow on international markets in its own currency as an “exorbitant </w:t>
      </w:r>
      <w:proofErr w:type="spellStart"/>
      <w:r>
        <w:t>priviledge</w:t>
      </w:r>
      <w:proofErr w:type="spellEnd"/>
      <w:r>
        <w:t>”.</w:t>
      </w:r>
    </w:p>
  </w:footnote>
  <w:footnote w:id="17">
    <w:p w:rsidR="00E66CD3" w:rsidRDefault="00E66CD3">
      <w:pPr>
        <w:pStyle w:val="FootnoteText"/>
      </w:pPr>
      <w:r>
        <w:rPr>
          <w:rStyle w:val="FootnoteReference"/>
        </w:rPr>
        <w:footnoteRef/>
      </w:r>
      <w:r>
        <w:t xml:space="preserve"> Figure 3 shows the dramatic, policy induced</w:t>
      </w:r>
      <w:proofErr w:type="gramStart"/>
      <w:r>
        <w:t>,  increase</w:t>
      </w:r>
      <w:proofErr w:type="gramEnd"/>
      <w:r>
        <w:t xml:space="preserve"> in the ratio between  reserves and credit following Lehman’s downfall.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D6FA8"/>
    <w:multiLevelType w:val="hybridMultilevel"/>
    <w:tmpl w:val="902A1998"/>
    <w:lvl w:ilvl="0" w:tplc="1F569734">
      <w:start w:val="2"/>
      <w:numFmt w:val="decimal"/>
      <w:lvlText w:val="%1."/>
      <w:lvlJc w:val="left"/>
      <w:pPr>
        <w:ind w:left="644" w:hanging="360"/>
      </w:pPr>
      <w:rPr>
        <w:rFonts w:hint="default"/>
        <w:b/>
        <w:bCs/>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B5276B6"/>
    <w:multiLevelType w:val="hybridMultilevel"/>
    <w:tmpl w:val="79785AB8"/>
    <w:lvl w:ilvl="0" w:tplc="C1F2E2CA">
      <w:start w:val="3"/>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B303059"/>
    <w:multiLevelType w:val="hybridMultilevel"/>
    <w:tmpl w:val="8D102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15FBC"/>
    <w:multiLevelType w:val="hybridMultilevel"/>
    <w:tmpl w:val="382C6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F833A9"/>
    <w:multiLevelType w:val="hybridMultilevel"/>
    <w:tmpl w:val="590EC0D8"/>
    <w:lvl w:ilvl="0" w:tplc="29DEB020">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E086753"/>
    <w:multiLevelType w:val="hybridMultilevel"/>
    <w:tmpl w:val="37CC039E"/>
    <w:lvl w:ilvl="0" w:tplc="F6940F32">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47E023D1"/>
    <w:multiLevelType w:val="hybridMultilevel"/>
    <w:tmpl w:val="B222615A"/>
    <w:lvl w:ilvl="0" w:tplc="323CAEC4">
      <w:start w:val="1"/>
      <w:numFmt w:val="decimal"/>
      <w:lvlText w:val="%1."/>
      <w:lvlJc w:val="left"/>
      <w:pPr>
        <w:ind w:left="644"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969EF"/>
    <w:multiLevelType w:val="hybridMultilevel"/>
    <w:tmpl w:val="B222615A"/>
    <w:lvl w:ilvl="0" w:tplc="323CAEC4">
      <w:start w:val="1"/>
      <w:numFmt w:val="decimal"/>
      <w:lvlText w:val="%1."/>
      <w:lvlJc w:val="left"/>
      <w:pPr>
        <w:ind w:left="644"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B968B6"/>
    <w:multiLevelType w:val="hybridMultilevel"/>
    <w:tmpl w:val="643E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7"/>
  </w:num>
  <w:num w:numId="5">
    <w:abstractNumId w:val="6"/>
  </w:num>
  <w:num w:numId="6">
    <w:abstractNumId w:val="0"/>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54B0"/>
    <w:rsid w:val="000005CC"/>
    <w:rsid w:val="00001994"/>
    <w:rsid w:val="000024D5"/>
    <w:rsid w:val="00003412"/>
    <w:rsid w:val="00006C6D"/>
    <w:rsid w:val="00013BB6"/>
    <w:rsid w:val="000147EA"/>
    <w:rsid w:val="000155F7"/>
    <w:rsid w:val="00023EC7"/>
    <w:rsid w:val="00026310"/>
    <w:rsid w:val="00027EFE"/>
    <w:rsid w:val="00031974"/>
    <w:rsid w:val="000402FF"/>
    <w:rsid w:val="00043DF4"/>
    <w:rsid w:val="00044041"/>
    <w:rsid w:val="0004506E"/>
    <w:rsid w:val="0004581F"/>
    <w:rsid w:val="00045822"/>
    <w:rsid w:val="00046ACA"/>
    <w:rsid w:val="000505EF"/>
    <w:rsid w:val="0005079D"/>
    <w:rsid w:val="0005131E"/>
    <w:rsid w:val="00053723"/>
    <w:rsid w:val="00054C69"/>
    <w:rsid w:val="00057969"/>
    <w:rsid w:val="000616EF"/>
    <w:rsid w:val="00063918"/>
    <w:rsid w:val="00063FEE"/>
    <w:rsid w:val="000672E4"/>
    <w:rsid w:val="00071CF4"/>
    <w:rsid w:val="00073D2E"/>
    <w:rsid w:val="00076A26"/>
    <w:rsid w:val="0008124F"/>
    <w:rsid w:val="00082AD4"/>
    <w:rsid w:val="00085859"/>
    <w:rsid w:val="000870F5"/>
    <w:rsid w:val="00091581"/>
    <w:rsid w:val="0009370E"/>
    <w:rsid w:val="000A0360"/>
    <w:rsid w:val="000A090B"/>
    <w:rsid w:val="000A31AB"/>
    <w:rsid w:val="000A32F4"/>
    <w:rsid w:val="000A33B1"/>
    <w:rsid w:val="000A3E16"/>
    <w:rsid w:val="000A4F3A"/>
    <w:rsid w:val="000A5BF8"/>
    <w:rsid w:val="000A7646"/>
    <w:rsid w:val="000A7D3A"/>
    <w:rsid w:val="000B3A49"/>
    <w:rsid w:val="000B7621"/>
    <w:rsid w:val="000C08A9"/>
    <w:rsid w:val="000C4404"/>
    <w:rsid w:val="000C4DCE"/>
    <w:rsid w:val="000D1A02"/>
    <w:rsid w:val="000D41B2"/>
    <w:rsid w:val="000D5CC9"/>
    <w:rsid w:val="000E21E1"/>
    <w:rsid w:val="000E3C09"/>
    <w:rsid w:val="000F1493"/>
    <w:rsid w:val="000F2CA5"/>
    <w:rsid w:val="000F3C7A"/>
    <w:rsid w:val="000F40B4"/>
    <w:rsid w:val="00100D14"/>
    <w:rsid w:val="00104CBB"/>
    <w:rsid w:val="00107264"/>
    <w:rsid w:val="00110E42"/>
    <w:rsid w:val="001123F7"/>
    <w:rsid w:val="00114AB5"/>
    <w:rsid w:val="00120D5C"/>
    <w:rsid w:val="00121A31"/>
    <w:rsid w:val="00124B29"/>
    <w:rsid w:val="00125A0B"/>
    <w:rsid w:val="00126CAF"/>
    <w:rsid w:val="0013124E"/>
    <w:rsid w:val="00132CFB"/>
    <w:rsid w:val="001332AC"/>
    <w:rsid w:val="00133E1C"/>
    <w:rsid w:val="0013518F"/>
    <w:rsid w:val="00137BBA"/>
    <w:rsid w:val="001406D5"/>
    <w:rsid w:val="00141EF5"/>
    <w:rsid w:val="0014405A"/>
    <w:rsid w:val="00145A09"/>
    <w:rsid w:val="00147253"/>
    <w:rsid w:val="00150388"/>
    <w:rsid w:val="0015435C"/>
    <w:rsid w:val="00154E3E"/>
    <w:rsid w:val="00155C14"/>
    <w:rsid w:val="00155F30"/>
    <w:rsid w:val="001645B8"/>
    <w:rsid w:val="00164B26"/>
    <w:rsid w:val="00167DB9"/>
    <w:rsid w:val="001748EB"/>
    <w:rsid w:val="00174967"/>
    <w:rsid w:val="00177B5B"/>
    <w:rsid w:val="0018147C"/>
    <w:rsid w:val="00183BA5"/>
    <w:rsid w:val="001853A0"/>
    <w:rsid w:val="00191EED"/>
    <w:rsid w:val="0019445A"/>
    <w:rsid w:val="001A0F97"/>
    <w:rsid w:val="001B2D31"/>
    <w:rsid w:val="001B56D2"/>
    <w:rsid w:val="001C2B10"/>
    <w:rsid w:val="001D3C63"/>
    <w:rsid w:val="001D6223"/>
    <w:rsid w:val="001E2260"/>
    <w:rsid w:val="001E5E4D"/>
    <w:rsid w:val="001F2954"/>
    <w:rsid w:val="001F3D2B"/>
    <w:rsid w:val="001F6E32"/>
    <w:rsid w:val="0020005A"/>
    <w:rsid w:val="0020231A"/>
    <w:rsid w:val="00202AE6"/>
    <w:rsid w:val="00206234"/>
    <w:rsid w:val="002077DE"/>
    <w:rsid w:val="002109BA"/>
    <w:rsid w:val="00212BF3"/>
    <w:rsid w:val="00215AFA"/>
    <w:rsid w:val="00222415"/>
    <w:rsid w:val="00223232"/>
    <w:rsid w:val="00230F87"/>
    <w:rsid w:val="00233D93"/>
    <w:rsid w:val="002351CC"/>
    <w:rsid w:val="002351CE"/>
    <w:rsid w:val="002354B0"/>
    <w:rsid w:val="00236D90"/>
    <w:rsid w:val="00237B1B"/>
    <w:rsid w:val="002417CA"/>
    <w:rsid w:val="0024358D"/>
    <w:rsid w:val="0024668F"/>
    <w:rsid w:val="00246BD5"/>
    <w:rsid w:val="00253756"/>
    <w:rsid w:val="00260C74"/>
    <w:rsid w:val="002632BB"/>
    <w:rsid w:val="002665BE"/>
    <w:rsid w:val="00270ECC"/>
    <w:rsid w:val="0027142C"/>
    <w:rsid w:val="0027528E"/>
    <w:rsid w:val="00277596"/>
    <w:rsid w:val="00282239"/>
    <w:rsid w:val="0028225D"/>
    <w:rsid w:val="0028322F"/>
    <w:rsid w:val="00294D02"/>
    <w:rsid w:val="002950A9"/>
    <w:rsid w:val="002A04D6"/>
    <w:rsid w:val="002A1DF3"/>
    <w:rsid w:val="002A39C1"/>
    <w:rsid w:val="002B2739"/>
    <w:rsid w:val="002B6097"/>
    <w:rsid w:val="002C7218"/>
    <w:rsid w:val="002D07CB"/>
    <w:rsid w:val="002D14BE"/>
    <w:rsid w:val="002D2875"/>
    <w:rsid w:val="002D2A5F"/>
    <w:rsid w:val="002D5B09"/>
    <w:rsid w:val="002D5CEF"/>
    <w:rsid w:val="002D7CD0"/>
    <w:rsid w:val="002E3503"/>
    <w:rsid w:val="002E4A81"/>
    <w:rsid w:val="002E55B2"/>
    <w:rsid w:val="002E60B8"/>
    <w:rsid w:val="002E66FA"/>
    <w:rsid w:val="002E67BC"/>
    <w:rsid w:val="002F22E6"/>
    <w:rsid w:val="002F3011"/>
    <w:rsid w:val="002F40AD"/>
    <w:rsid w:val="002F474F"/>
    <w:rsid w:val="002F4C57"/>
    <w:rsid w:val="002F5B3E"/>
    <w:rsid w:val="002F61BA"/>
    <w:rsid w:val="002F67F2"/>
    <w:rsid w:val="00301CFA"/>
    <w:rsid w:val="00305BA2"/>
    <w:rsid w:val="0030697E"/>
    <w:rsid w:val="00311445"/>
    <w:rsid w:val="00327196"/>
    <w:rsid w:val="003307C9"/>
    <w:rsid w:val="00336D44"/>
    <w:rsid w:val="0034016B"/>
    <w:rsid w:val="003408BE"/>
    <w:rsid w:val="00344773"/>
    <w:rsid w:val="00344E45"/>
    <w:rsid w:val="0034776E"/>
    <w:rsid w:val="00350DB6"/>
    <w:rsid w:val="00352E10"/>
    <w:rsid w:val="00366249"/>
    <w:rsid w:val="003749EC"/>
    <w:rsid w:val="003756FE"/>
    <w:rsid w:val="00375928"/>
    <w:rsid w:val="00377927"/>
    <w:rsid w:val="003809B2"/>
    <w:rsid w:val="00383809"/>
    <w:rsid w:val="00385E13"/>
    <w:rsid w:val="00386780"/>
    <w:rsid w:val="00390971"/>
    <w:rsid w:val="00396CC3"/>
    <w:rsid w:val="003A1790"/>
    <w:rsid w:val="003A5506"/>
    <w:rsid w:val="003A7CB0"/>
    <w:rsid w:val="003B0A3E"/>
    <w:rsid w:val="003B2587"/>
    <w:rsid w:val="003B5104"/>
    <w:rsid w:val="003B56AB"/>
    <w:rsid w:val="003B5F70"/>
    <w:rsid w:val="003B73D5"/>
    <w:rsid w:val="003C475C"/>
    <w:rsid w:val="003C712A"/>
    <w:rsid w:val="003C75B2"/>
    <w:rsid w:val="003D18BC"/>
    <w:rsid w:val="003D1D98"/>
    <w:rsid w:val="003D1EEB"/>
    <w:rsid w:val="003D3355"/>
    <w:rsid w:val="003D45DF"/>
    <w:rsid w:val="003E117D"/>
    <w:rsid w:val="003E7FC6"/>
    <w:rsid w:val="003F10CF"/>
    <w:rsid w:val="003F3F4B"/>
    <w:rsid w:val="003F6447"/>
    <w:rsid w:val="003F6E94"/>
    <w:rsid w:val="00402D30"/>
    <w:rsid w:val="00402DE8"/>
    <w:rsid w:val="00404811"/>
    <w:rsid w:val="0041000F"/>
    <w:rsid w:val="004101DB"/>
    <w:rsid w:val="0041271C"/>
    <w:rsid w:val="00413924"/>
    <w:rsid w:val="00414B46"/>
    <w:rsid w:val="00420296"/>
    <w:rsid w:val="004202BD"/>
    <w:rsid w:val="004222D9"/>
    <w:rsid w:val="0042261D"/>
    <w:rsid w:val="0042453E"/>
    <w:rsid w:val="00426C1E"/>
    <w:rsid w:val="00432C2B"/>
    <w:rsid w:val="00436C22"/>
    <w:rsid w:val="00437DE9"/>
    <w:rsid w:val="004412F0"/>
    <w:rsid w:val="00445B65"/>
    <w:rsid w:val="004476F8"/>
    <w:rsid w:val="004631EB"/>
    <w:rsid w:val="0046324E"/>
    <w:rsid w:val="00464312"/>
    <w:rsid w:val="00464A94"/>
    <w:rsid w:val="00466591"/>
    <w:rsid w:val="004672CC"/>
    <w:rsid w:val="00467995"/>
    <w:rsid w:val="00470413"/>
    <w:rsid w:val="00474A05"/>
    <w:rsid w:val="004764F8"/>
    <w:rsid w:val="00476ADF"/>
    <w:rsid w:val="00483D40"/>
    <w:rsid w:val="00484A9F"/>
    <w:rsid w:val="00484F80"/>
    <w:rsid w:val="004904F7"/>
    <w:rsid w:val="00492BB6"/>
    <w:rsid w:val="00497DB9"/>
    <w:rsid w:val="00497FEF"/>
    <w:rsid w:val="004A0E88"/>
    <w:rsid w:val="004A3697"/>
    <w:rsid w:val="004A50C0"/>
    <w:rsid w:val="004A52D4"/>
    <w:rsid w:val="004A782E"/>
    <w:rsid w:val="004A7F3C"/>
    <w:rsid w:val="004B2F1A"/>
    <w:rsid w:val="004B67ED"/>
    <w:rsid w:val="004B7A9D"/>
    <w:rsid w:val="004B7FEB"/>
    <w:rsid w:val="004C1E7E"/>
    <w:rsid w:val="004C262D"/>
    <w:rsid w:val="004D24FE"/>
    <w:rsid w:val="004D409E"/>
    <w:rsid w:val="004D53F2"/>
    <w:rsid w:val="004D60B9"/>
    <w:rsid w:val="004D60CF"/>
    <w:rsid w:val="004D6CE5"/>
    <w:rsid w:val="004E1454"/>
    <w:rsid w:val="004E1BF9"/>
    <w:rsid w:val="004F0CBA"/>
    <w:rsid w:val="004F71B7"/>
    <w:rsid w:val="00500DE7"/>
    <w:rsid w:val="00502F7D"/>
    <w:rsid w:val="00513277"/>
    <w:rsid w:val="00516456"/>
    <w:rsid w:val="005168FF"/>
    <w:rsid w:val="00520C10"/>
    <w:rsid w:val="00523EC4"/>
    <w:rsid w:val="00525CB0"/>
    <w:rsid w:val="00527661"/>
    <w:rsid w:val="00527DD3"/>
    <w:rsid w:val="0053125A"/>
    <w:rsid w:val="00531899"/>
    <w:rsid w:val="005338C7"/>
    <w:rsid w:val="005347D5"/>
    <w:rsid w:val="0053632A"/>
    <w:rsid w:val="0054347F"/>
    <w:rsid w:val="00545CE3"/>
    <w:rsid w:val="005477C1"/>
    <w:rsid w:val="0054785E"/>
    <w:rsid w:val="00550E10"/>
    <w:rsid w:val="00553D09"/>
    <w:rsid w:val="00554BB7"/>
    <w:rsid w:val="00564343"/>
    <w:rsid w:val="00565DA5"/>
    <w:rsid w:val="00570A20"/>
    <w:rsid w:val="00570E0E"/>
    <w:rsid w:val="00571D81"/>
    <w:rsid w:val="005777CD"/>
    <w:rsid w:val="005814A0"/>
    <w:rsid w:val="00590A7B"/>
    <w:rsid w:val="005915B7"/>
    <w:rsid w:val="005A0A26"/>
    <w:rsid w:val="005A638F"/>
    <w:rsid w:val="005A6569"/>
    <w:rsid w:val="005B3665"/>
    <w:rsid w:val="005B7A97"/>
    <w:rsid w:val="005C08D9"/>
    <w:rsid w:val="005C19D8"/>
    <w:rsid w:val="005C53C8"/>
    <w:rsid w:val="005C6859"/>
    <w:rsid w:val="005C7BC6"/>
    <w:rsid w:val="005D09C6"/>
    <w:rsid w:val="005D1746"/>
    <w:rsid w:val="005D46C1"/>
    <w:rsid w:val="005D6C4E"/>
    <w:rsid w:val="005E0E9B"/>
    <w:rsid w:val="005E11A3"/>
    <w:rsid w:val="005E4634"/>
    <w:rsid w:val="005F5AD4"/>
    <w:rsid w:val="005F6A0B"/>
    <w:rsid w:val="005F750D"/>
    <w:rsid w:val="005F7566"/>
    <w:rsid w:val="00600148"/>
    <w:rsid w:val="00604F27"/>
    <w:rsid w:val="00606B93"/>
    <w:rsid w:val="00612E9D"/>
    <w:rsid w:val="00613452"/>
    <w:rsid w:val="006146B6"/>
    <w:rsid w:val="00620423"/>
    <w:rsid w:val="00636538"/>
    <w:rsid w:val="006371E5"/>
    <w:rsid w:val="00640021"/>
    <w:rsid w:val="00641145"/>
    <w:rsid w:val="00641C49"/>
    <w:rsid w:val="006425FE"/>
    <w:rsid w:val="00647231"/>
    <w:rsid w:val="0065644B"/>
    <w:rsid w:val="00660BD3"/>
    <w:rsid w:val="00660EF4"/>
    <w:rsid w:val="006636B4"/>
    <w:rsid w:val="00663B95"/>
    <w:rsid w:val="00664888"/>
    <w:rsid w:val="00664EA8"/>
    <w:rsid w:val="00666055"/>
    <w:rsid w:val="006706A6"/>
    <w:rsid w:val="0067121C"/>
    <w:rsid w:val="006736B7"/>
    <w:rsid w:val="0067449C"/>
    <w:rsid w:val="006746C8"/>
    <w:rsid w:val="00674C02"/>
    <w:rsid w:val="0067593A"/>
    <w:rsid w:val="0067641B"/>
    <w:rsid w:val="00676D71"/>
    <w:rsid w:val="006817FF"/>
    <w:rsid w:val="00683517"/>
    <w:rsid w:val="0068438F"/>
    <w:rsid w:val="006964A7"/>
    <w:rsid w:val="0069783E"/>
    <w:rsid w:val="006A3D34"/>
    <w:rsid w:val="006B553C"/>
    <w:rsid w:val="006C01A8"/>
    <w:rsid w:val="006C2CC0"/>
    <w:rsid w:val="006C2F22"/>
    <w:rsid w:val="006C323A"/>
    <w:rsid w:val="006E6A3D"/>
    <w:rsid w:val="006F03B9"/>
    <w:rsid w:val="006F25C8"/>
    <w:rsid w:val="006F4A60"/>
    <w:rsid w:val="006F4D55"/>
    <w:rsid w:val="006F63E0"/>
    <w:rsid w:val="006F7390"/>
    <w:rsid w:val="007051D4"/>
    <w:rsid w:val="0070574E"/>
    <w:rsid w:val="007176D1"/>
    <w:rsid w:val="00723B99"/>
    <w:rsid w:val="0072451E"/>
    <w:rsid w:val="00725672"/>
    <w:rsid w:val="00726123"/>
    <w:rsid w:val="00730D63"/>
    <w:rsid w:val="00735F3A"/>
    <w:rsid w:val="00736003"/>
    <w:rsid w:val="007405B5"/>
    <w:rsid w:val="007504C5"/>
    <w:rsid w:val="00755A86"/>
    <w:rsid w:val="0076576C"/>
    <w:rsid w:val="00772761"/>
    <w:rsid w:val="00772B82"/>
    <w:rsid w:val="007743B2"/>
    <w:rsid w:val="00774D4A"/>
    <w:rsid w:val="00777501"/>
    <w:rsid w:val="00780887"/>
    <w:rsid w:val="00791F09"/>
    <w:rsid w:val="007A6847"/>
    <w:rsid w:val="007A78E8"/>
    <w:rsid w:val="007B3A53"/>
    <w:rsid w:val="007B70BD"/>
    <w:rsid w:val="007C077C"/>
    <w:rsid w:val="007C293E"/>
    <w:rsid w:val="007D62AE"/>
    <w:rsid w:val="007E7C64"/>
    <w:rsid w:val="007F0BBE"/>
    <w:rsid w:val="007F0D23"/>
    <w:rsid w:val="007F254E"/>
    <w:rsid w:val="007F34A6"/>
    <w:rsid w:val="007F402C"/>
    <w:rsid w:val="007F6FAF"/>
    <w:rsid w:val="00801714"/>
    <w:rsid w:val="008029AB"/>
    <w:rsid w:val="00803D61"/>
    <w:rsid w:val="00804F15"/>
    <w:rsid w:val="0080520E"/>
    <w:rsid w:val="00805A09"/>
    <w:rsid w:val="00807884"/>
    <w:rsid w:val="008122F2"/>
    <w:rsid w:val="00812E20"/>
    <w:rsid w:val="00814A4C"/>
    <w:rsid w:val="00815909"/>
    <w:rsid w:val="00816DE3"/>
    <w:rsid w:val="00820EEF"/>
    <w:rsid w:val="008213A7"/>
    <w:rsid w:val="008242D0"/>
    <w:rsid w:val="00825723"/>
    <w:rsid w:val="008313B7"/>
    <w:rsid w:val="00831AC0"/>
    <w:rsid w:val="00834AC0"/>
    <w:rsid w:val="008354D6"/>
    <w:rsid w:val="0083757F"/>
    <w:rsid w:val="008407A9"/>
    <w:rsid w:val="0085507D"/>
    <w:rsid w:val="008570F3"/>
    <w:rsid w:val="00862114"/>
    <w:rsid w:val="008631CC"/>
    <w:rsid w:val="00864C1B"/>
    <w:rsid w:val="00870063"/>
    <w:rsid w:val="008716BB"/>
    <w:rsid w:val="00874B40"/>
    <w:rsid w:val="008759A0"/>
    <w:rsid w:val="00875FF1"/>
    <w:rsid w:val="00880412"/>
    <w:rsid w:val="0088252E"/>
    <w:rsid w:val="00884BFA"/>
    <w:rsid w:val="00886C5B"/>
    <w:rsid w:val="008958F9"/>
    <w:rsid w:val="00895D78"/>
    <w:rsid w:val="008A0735"/>
    <w:rsid w:val="008A111A"/>
    <w:rsid w:val="008B120C"/>
    <w:rsid w:val="008B2378"/>
    <w:rsid w:val="008B2FD8"/>
    <w:rsid w:val="008B738D"/>
    <w:rsid w:val="008C18C7"/>
    <w:rsid w:val="008C3E32"/>
    <w:rsid w:val="008C56D7"/>
    <w:rsid w:val="008C7A10"/>
    <w:rsid w:val="008D207C"/>
    <w:rsid w:val="008D2851"/>
    <w:rsid w:val="008D471C"/>
    <w:rsid w:val="008D69A1"/>
    <w:rsid w:val="008E0D13"/>
    <w:rsid w:val="008E3101"/>
    <w:rsid w:val="008E3E47"/>
    <w:rsid w:val="008E6105"/>
    <w:rsid w:val="008E6430"/>
    <w:rsid w:val="008F5ECE"/>
    <w:rsid w:val="008F5FC7"/>
    <w:rsid w:val="00900067"/>
    <w:rsid w:val="00901EC6"/>
    <w:rsid w:val="00911FBC"/>
    <w:rsid w:val="00912ECC"/>
    <w:rsid w:val="0091379D"/>
    <w:rsid w:val="00917474"/>
    <w:rsid w:val="009220A4"/>
    <w:rsid w:val="009242CF"/>
    <w:rsid w:val="00926F15"/>
    <w:rsid w:val="00932F3E"/>
    <w:rsid w:val="00941F61"/>
    <w:rsid w:val="00944AA5"/>
    <w:rsid w:val="00944C85"/>
    <w:rsid w:val="00944D3E"/>
    <w:rsid w:val="009514A4"/>
    <w:rsid w:val="00951B7D"/>
    <w:rsid w:val="009538F6"/>
    <w:rsid w:val="00960882"/>
    <w:rsid w:val="00972DD9"/>
    <w:rsid w:val="00976B4E"/>
    <w:rsid w:val="00981295"/>
    <w:rsid w:val="0098152F"/>
    <w:rsid w:val="009815C9"/>
    <w:rsid w:val="009839B6"/>
    <w:rsid w:val="00984643"/>
    <w:rsid w:val="0098694C"/>
    <w:rsid w:val="00990978"/>
    <w:rsid w:val="00993316"/>
    <w:rsid w:val="0099423C"/>
    <w:rsid w:val="009A15EF"/>
    <w:rsid w:val="009A288E"/>
    <w:rsid w:val="009A2925"/>
    <w:rsid w:val="009A44F2"/>
    <w:rsid w:val="009B1A63"/>
    <w:rsid w:val="009B27A6"/>
    <w:rsid w:val="009B4855"/>
    <w:rsid w:val="009C088B"/>
    <w:rsid w:val="009C591F"/>
    <w:rsid w:val="009C6A94"/>
    <w:rsid w:val="009D78C9"/>
    <w:rsid w:val="009E0B95"/>
    <w:rsid w:val="009E244F"/>
    <w:rsid w:val="009E385F"/>
    <w:rsid w:val="009E589C"/>
    <w:rsid w:val="009F32AF"/>
    <w:rsid w:val="009F47C6"/>
    <w:rsid w:val="00A00A9B"/>
    <w:rsid w:val="00A10977"/>
    <w:rsid w:val="00A12912"/>
    <w:rsid w:val="00A12990"/>
    <w:rsid w:val="00A13E24"/>
    <w:rsid w:val="00A1585B"/>
    <w:rsid w:val="00A15FE6"/>
    <w:rsid w:val="00A17660"/>
    <w:rsid w:val="00A23242"/>
    <w:rsid w:val="00A24818"/>
    <w:rsid w:val="00A24B64"/>
    <w:rsid w:val="00A301AC"/>
    <w:rsid w:val="00A317A9"/>
    <w:rsid w:val="00A351E3"/>
    <w:rsid w:val="00A37A0F"/>
    <w:rsid w:val="00A40801"/>
    <w:rsid w:val="00A446D6"/>
    <w:rsid w:val="00A44A86"/>
    <w:rsid w:val="00A51E94"/>
    <w:rsid w:val="00A57E4B"/>
    <w:rsid w:val="00A63A99"/>
    <w:rsid w:val="00A66465"/>
    <w:rsid w:val="00A67719"/>
    <w:rsid w:val="00A70072"/>
    <w:rsid w:val="00A71304"/>
    <w:rsid w:val="00A7384F"/>
    <w:rsid w:val="00A77E99"/>
    <w:rsid w:val="00A77F35"/>
    <w:rsid w:val="00A8307A"/>
    <w:rsid w:val="00A91262"/>
    <w:rsid w:val="00AA0BDF"/>
    <w:rsid w:val="00AA31C9"/>
    <w:rsid w:val="00AA69A7"/>
    <w:rsid w:val="00AB24F6"/>
    <w:rsid w:val="00AB508A"/>
    <w:rsid w:val="00AB73C6"/>
    <w:rsid w:val="00AD5D4B"/>
    <w:rsid w:val="00AD5FE2"/>
    <w:rsid w:val="00AE0B05"/>
    <w:rsid w:val="00AE1197"/>
    <w:rsid w:val="00AE20F8"/>
    <w:rsid w:val="00AE2321"/>
    <w:rsid w:val="00AE4F9C"/>
    <w:rsid w:val="00AE6432"/>
    <w:rsid w:val="00AF3B97"/>
    <w:rsid w:val="00AF650B"/>
    <w:rsid w:val="00B11125"/>
    <w:rsid w:val="00B120B0"/>
    <w:rsid w:val="00B130A3"/>
    <w:rsid w:val="00B16FC2"/>
    <w:rsid w:val="00B205F5"/>
    <w:rsid w:val="00B228F5"/>
    <w:rsid w:val="00B24E73"/>
    <w:rsid w:val="00B25382"/>
    <w:rsid w:val="00B27641"/>
    <w:rsid w:val="00B311B1"/>
    <w:rsid w:val="00B3310B"/>
    <w:rsid w:val="00B377DE"/>
    <w:rsid w:val="00B415AB"/>
    <w:rsid w:val="00B41928"/>
    <w:rsid w:val="00B42A8E"/>
    <w:rsid w:val="00B475CE"/>
    <w:rsid w:val="00B53140"/>
    <w:rsid w:val="00B53712"/>
    <w:rsid w:val="00B57895"/>
    <w:rsid w:val="00B603A9"/>
    <w:rsid w:val="00B63CCD"/>
    <w:rsid w:val="00B64BC6"/>
    <w:rsid w:val="00B717F0"/>
    <w:rsid w:val="00B74BFB"/>
    <w:rsid w:val="00B76965"/>
    <w:rsid w:val="00B83518"/>
    <w:rsid w:val="00B91888"/>
    <w:rsid w:val="00B9611D"/>
    <w:rsid w:val="00B9720F"/>
    <w:rsid w:val="00B9776B"/>
    <w:rsid w:val="00B97D46"/>
    <w:rsid w:val="00BA08CE"/>
    <w:rsid w:val="00BA0BC3"/>
    <w:rsid w:val="00BA279C"/>
    <w:rsid w:val="00BB2B3E"/>
    <w:rsid w:val="00BB3E54"/>
    <w:rsid w:val="00BB3F4B"/>
    <w:rsid w:val="00BB4216"/>
    <w:rsid w:val="00BB4E32"/>
    <w:rsid w:val="00BB75FF"/>
    <w:rsid w:val="00BB7F9B"/>
    <w:rsid w:val="00BC022C"/>
    <w:rsid w:val="00BC32BF"/>
    <w:rsid w:val="00BC3E6F"/>
    <w:rsid w:val="00BC6C8E"/>
    <w:rsid w:val="00BD276F"/>
    <w:rsid w:val="00BD3440"/>
    <w:rsid w:val="00BE2F60"/>
    <w:rsid w:val="00BE71BF"/>
    <w:rsid w:val="00BF533A"/>
    <w:rsid w:val="00BF5F1D"/>
    <w:rsid w:val="00BF79FB"/>
    <w:rsid w:val="00C006AA"/>
    <w:rsid w:val="00C009B2"/>
    <w:rsid w:val="00C01C32"/>
    <w:rsid w:val="00C0461B"/>
    <w:rsid w:val="00C05162"/>
    <w:rsid w:val="00C16310"/>
    <w:rsid w:val="00C22367"/>
    <w:rsid w:val="00C22F2E"/>
    <w:rsid w:val="00C256BB"/>
    <w:rsid w:val="00C31D4B"/>
    <w:rsid w:val="00C405AF"/>
    <w:rsid w:val="00C4084A"/>
    <w:rsid w:val="00C4495E"/>
    <w:rsid w:val="00C4776C"/>
    <w:rsid w:val="00C50EF4"/>
    <w:rsid w:val="00C5186E"/>
    <w:rsid w:val="00C519F5"/>
    <w:rsid w:val="00C5206C"/>
    <w:rsid w:val="00C52575"/>
    <w:rsid w:val="00C5708A"/>
    <w:rsid w:val="00C6182A"/>
    <w:rsid w:val="00C7179A"/>
    <w:rsid w:val="00C73748"/>
    <w:rsid w:val="00C73E81"/>
    <w:rsid w:val="00C83720"/>
    <w:rsid w:val="00C851BE"/>
    <w:rsid w:val="00C85BD9"/>
    <w:rsid w:val="00C876DB"/>
    <w:rsid w:val="00C87DD0"/>
    <w:rsid w:val="00C91089"/>
    <w:rsid w:val="00C95E76"/>
    <w:rsid w:val="00C96305"/>
    <w:rsid w:val="00CA716A"/>
    <w:rsid w:val="00CB048B"/>
    <w:rsid w:val="00CB1DD5"/>
    <w:rsid w:val="00CB308E"/>
    <w:rsid w:val="00CB5DA2"/>
    <w:rsid w:val="00CB6682"/>
    <w:rsid w:val="00CC0B8C"/>
    <w:rsid w:val="00CC4A98"/>
    <w:rsid w:val="00CD3D86"/>
    <w:rsid w:val="00CD4151"/>
    <w:rsid w:val="00CD5616"/>
    <w:rsid w:val="00CD720F"/>
    <w:rsid w:val="00CE0A02"/>
    <w:rsid w:val="00CE4CD2"/>
    <w:rsid w:val="00CE6749"/>
    <w:rsid w:val="00CF02B5"/>
    <w:rsid w:val="00CF2AFE"/>
    <w:rsid w:val="00CF2B1A"/>
    <w:rsid w:val="00CF51F3"/>
    <w:rsid w:val="00CF58E3"/>
    <w:rsid w:val="00D12AE1"/>
    <w:rsid w:val="00D16550"/>
    <w:rsid w:val="00D171B0"/>
    <w:rsid w:val="00D20792"/>
    <w:rsid w:val="00D26F73"/>
    <w:rsid w:val="00D27341"/>
    <w:rsid w:val="00D370F7"/>
    <w:rsid w:val="00D421EF"/>
    <w:rsid w:val="00D42591"/>
    <w:rsid w:val="00D429D9"/>
    <w:rsid w:val="00D43860"/>
    <w:rsid w:val="00D4464C"/>
    <w:rsid w:val="00D4478F"/>
    <w:rsid w:val="00D46497"/>
    <w:rsid w:val="00D46F33"/>
    <w:rsid w:val="00D604BE"/>
    <w:rsid w:val="00D60B1F"/>
    <w:rsid w:val="00D61087"/>
    <w:rsid w:val="00D631FA"/>
    <w:rsid w:val="00D63F16"/>
    <w:rsid w:val="00D65E0E"/>
    <w:rsid w:val="00D66CF5"/>
    <w:rsid w:val="00D67CD7"/>
    <w:rsid w:val="00D703B9"/>
    <w:rsid w:val="00D7347F"/>
    <w:rsid w:val="00D76650"/>
    <w:rsid w:val="00D80DFD"/>
    <w:rsid w:val="00D811D5"/>
    <w:rsid w:val="00D841DB"/>
    <w:rsid w:val="00D86513"/>
    <w:rsid w:val="00D942BE"/>
    <w:rsid w:val="00D96750"/>
    <w:rsid w:val="00D96B73"/>
    <w:rsid w:val="00DA26C2"/>
    <w:rsid w:val="00DA2DB4"/>
    <w:rsid w:val="00DA3527"/>
    <w:rsid w:val="00DA4B30"/>
    <w:rsid w:val="00DA5C5B"/>
    <w:rsid w:val="00DA7315"/>
    <w:rsid w:val="00DB067A"/>
    <w:rsid w:val="00DB14A4"/>
    <w:rsid w:val="00DB4A01"/>
    <w:rsid w:val="00DB5EEE"/>
    <w:rsid w:val="00DB7B9D"/>
    <w:rsid w:val="00DC319A"/>
    <w:rsid w:val="00DC46F5"/>
    <w:rsid w:val="00DC71B9"/>
    <w:rsid w:val="00DE035D"/>
    <w:rsid w:val="00DE049B"/>
    <w:rsid w:val="00DE324F"/>
    <w:rsid w:val="00DE3E9B"/>
    <w:rsid w:val="00DE5FAE"/>
    <w:rsid w:val="00DE6891"/>
    <w:rsid w:val="00DE6BDC"/>
    <w:rsid w:val="00DF03C2"/>
    <w:rsid w:val="00DF3803"/>
    <w:rsid w:val="00DF578B"/>
    <w:rsid w:val="00E01513"/>
    <w:rsid w:val="00E01F64"/>
    <w:rsid w:val="00E052BC"/>
    <w:rsid w:val="00E06B53"/>
    <w:rsid w:val="00E10133"/>
    <w:rsid w:val="00E10667"/>
    <w:rsid w:val="00E13A00"/>
    <w:rsid w:val="00E14203"/>
    <w:rsid w:val="00E15270"/>
    <w:rsid w:val="00E215E4"/>
    <w:rsid w:val="00E2270B"/>
    <w:rsid w:val="00E23011"/>
    <w:rsid w:val="00E23E6E"/>
    <w:rsid w:val="00E261FB"/>
    <w:rsid w:val="00E3079B"/>
    <w:rsid w:val="00E33D19"/>
    <w:rsid w:val="00E34302"/>
    <w:rsid w:val="00E415B9"/>
    <w:rsid w:val="00E42BF6"/>
    <w:rsid w:val="00E44BC1"/>
    <w:rsid w:val="00E45D15"/>
    <w:rsid w:val="00E47605"/>
    <w:rsid w:val="00E503FF"/>
    <w:rsid w:val="00E513E2"/>
    <w:rsid w:val="00E560D3"/>
    <w:rsid w:val="00E611F1"/>
    <w:rsid w:val="00E622A7"/>
    <w:rsid w:val="00E639AE"/>
    <w:rsid w:val="00E66764"/>
    <w:rsid w:val="00E669F8"/>
    <w:rsid w:val="00E66CD3"/>
    <w:rsid w:val="00E75C90"/>
    <w:rsid w:val="00E7723A"/>
    <w:rsid w:val="00E80C22"/>
    <w:rsid w:val="00E87707"/>
    <w:rsid w:val="00E902FC"/>
    <w:rsid w:val="00E947C2"/>
    <w:rsid w:val="00E94E5D"/>
    <w:rsid w:val="00E95CB0"/>
    <w:rsid w:val="00EA039F"/>
    <w:rsid w:val="00EA319D"/>
    <w:rsid w:val="00EA555C"/>
    <w:rsid w:val="00EB050E"/>
    <w:rsid w:val="00EB5408"/>
    <w:rsid w:val="00EB6426"/>
    <w:rsid w:val="00EC0341"/>
    <w:rsid w:val="00EC267A"/>
    <w:rsid w:val="00EC6B2B"/>
    <w:rsid w:val="00ED5933"/>
    <w:rsid w:val="00ED7579"/>
    <w:rsid w:val="00EE368F"/>
    <w:rsid w:val="00EE49E1"/>
    <w:rsid w:val="00EE4BB4"/>
    <w:rsid w:val="00EE4D89"/>
    <w:rsid w:val="00EE4F20"/>
    <w:rsid w:val="00EE5DC3"/>
    <w:rsid w:val="00EF1CE2"/>
    <w:rsid w:val="00EF2444"/>
    <w:rsid w:val="00EF593D"/>
    <w:rsid w:val="00F06078"/>
    <w:rsid w:val="00F10050"/>
    <w:rsid w:val="00F13FCD"/>
    <w:rsid w:val="00F169AE"/>
    <w:rsid w:val="00F22C7A"/>
    <w:rsid w:val="00F22F89"/>
    <w:rsid w:val="00F30304"/>
    <w:rsid w:val="00F3045C"/>
    <w:rsid w:val="00F3208E"/>
    <w:rsid w:val="00F353EF"/>
    <w:rsid w:val="00F46BDD"/>
    <w:rsid w:val="00F5251F"/>
    <w:rsid w:val="00F546B5"/>
    <w:rsid w:val="00F56534"/>
    <w:rsid w:val="00F601EB"/>
    <w:rsid w:val="00F60A9D"/>
    <w:rsid w:val="00F64BC4"/>
    <w:rsid w:val="00F7790B"/>
    <w:rsid w:val="00F80C63"/>
    <w:rsid w:val="00F828CA"/>
    <w:rsid w:val="00F85BF9"/>
    <w:rsid w:val="00F964BB"/>
    <w:rsid w:val="00F97858"/>
    <w:rsid w:val="00FA0B9D"/>
    <w:rsid w:val="00FA7C01"/>
    <w:rsid w:val="00FB26D9"/>
    <w:rsid w:val="00FB279B"/>
    <w:rsid w:val="00FB4D00"/>
    <w:rsid w:val="00FB5AE3"/>
    <w:rsid w:val="00FC040C"/>
    <w:rsid w:val="00FC189A"/>
    <w:rsid w:val="00FC33A9"/>
    <w:rsid w:val="00FC4928"/>
    <w:rsid w:val="00FD2A7F"/>
    <w:rsid w:val="00FD3C7D"/>
    <w:rsid w:val="00FD5B27"/>
    <w:rsid w:val="00FE3EBA"/>
    <w:rsid w:val="00FE6185"/>
    <w:rsid w:val="00FE670C"/>
    <w:rsid w:val="00FE6BCF"/>
    <w:rsid w:val="00FF1434"/>
    <w:rsid w:val="00FF4566"/>
    <w:rsid w:val="00FF56BB"/>
    <w:rsid w:val="00FF66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355" w:lineRule="auto"/>
        <w:ind w:firstLine="70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19A"/>
  </w:style>
  <w:style w:type="paragraph" w:styleId="Heading2">
    <w:name w:val="heading 2"/>
    <w:basedOn w:val="Normal"/>
    <w:link w:val="Heading2Char"/>
    <w:uiPriority w:val="9"/>
    <w:qFormat/>
    <w:rsid w:val="00A51E94"/>
    <w:pPr>
      <w:spacing w:before="100" w:beforeAutospacing="1" w:after="100" w:afterAutospacing="1" w:line="240" w:lineRule="auto"/>
      <w:outlineLvl w:val="1"/>
    </w:pPr>
    <w:rPr>
      <w:rFonts w:ascii="Times New Roman" w:eastAsia="Times New Roman" w:hAnsi="Times New Roman" w:cs="Times New Roman"/>
      <w:sz w:val="38"/>
      <w:szCs w:val="38"/>
    </w:rPr>
  </w:style>
  <w:style w:type="paragraph" w:styleId="Heading3">
    <w:name w:val="heading 3"/>
    <w:basedOn w:val="Normal"/>
    <w:link w:val="Heading3Char"/>
    <w:uiPriority w:val="9"/>
    <w:qFormat/>
    <w:rsid w:val="00A51E94"/>
    <w:pPr>
      <w:spacing w:after="0" w:line="240" w:lineRule="auto"/>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E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2ECC"/>
  </w:style>
  <w:style w:type="paragraph" w:styleId="Footer">
    <w:name w:val="footer"/>
    <w:basedOn w:val="Normal"/>
    <w:link w:val="FooterChar"/>
    <w:uiPriority w:val="99"/>
    <w:unhideWhenUsed/>
    <w:rsid w:val="00912E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2ECC"/>
  </w:style>
  <w:style w:type="paragraph" w:styleId="BalloonText">
    <w:name w:val="Balloon Text"/>
    <w:basedOn w:val="Normal"/>
    <w:link w:val="BalloonTextChar"/>
    <w:uiPriority w:val="99"/>
    <w:semiHidden/>
    <w:unhideWhenUsed/>
    <w:rsid w:val="001B5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6D2"/>
    <w:rPr>
      <w:rFonts w:ascii="Tahoma" w:hAnsi="Tahoma" w:cs="Tahoma"/>
      <w:sz w:val="16"/>
      <w:szCs w:val="16"/>
    </w:rPr>
  </w:style>
  <w:style w:type="character" w:styleId="Hyperlink">
    <w:name w:val="Hyperlink"/>
    <w:basedOn w:val="DefaultParagraphFont"/>
    <w:uiPriority w:val="99"/>
    <w:unhideWhenUsed/>
    <w:rsid w:val="00664888"/>
    <w:rPr>
      <w:color w:val="0000FF"/>
      <w:u w:val="single"/>
    </w:rPr>
  </w:style>
  <w:style w:type="paragraph" w:styleId="FootnoteText">
    <w:name w:val="footnote text"/>
    <w:basedOn w:val="Normal"/>
    <w:link w:val="FootnoteTextChar"/>
    <w:semiHidden/>
    <w:rsid w:val="00DE035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E035D"/>
    <w:rPr>
      <w:rFonts w:ascii="Times New Roman" w:eastAsia="Times New Roman" w:hAnsi="Times New Roman" w:cs="Times New Roman"/>
      <w:sz w:val="20"/>
      <w:szCs w:val="20"/>
    </w:rPr>
  </w:style>
  <w:style w:type="character" w:styleId="FootnoteReference">
    <w:name w:val="footnote reference"/>
    <w:semiHidden/>
    <w:rsid w:val="00DE035D"/>
    <w:rPr>
      <w:vertAlign w:val="superscript"/>
    </w:rPr>
  </w:style>
  <w:style w:type="paragraph" w:styleId="EndnoteText">
    <w:name w:val="endnote text"/>
    <w:basedOn w:val="Normal"/>
    <w:link w:val="EndnoteTextChar"/>
    <w:uiPriority w:val="99"/>
    <w:semiHidden/>
    <w:unhideWhenUsed/>
    <w:rsid w:val="000D5C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5CC9"/>
    <w:rPr>
      <w:sz w:val="20"/>
      <w:szCs w:val="20"/>
    </w:rPr>
  </w:style>
  <w:style w:type="character" w:styleId="EndnoteReference">
    <w:name w:val="endnote reference"/>
    <w:basedOn w:val="DefaultParagraphFont"/>
    <w:uiPriority w:val="99"/>
    <w:semiHidden/>
    <w:unhideWhenUsed/>
    <w:rsid w:val="000D5CC9"/>
    <w:rPr>
      <w:vertAlign w:val="superscript"/>
    </w:rPr>
  </w:style>
  <w:style w:type="paragraph" w:styleId="ListParagraph">
    <w:name w:val="List Paragraph"/>
    <w:basedOn w:val="Normal"/>
    <w:uiPriority w:val="34"/>
    <w:qFormat/>
    <w:rsid w:val="0054785E"/>
    <w:pPr>
      <w:ind w:left="720"/>
      <w:contextualSpacing/>
    </w:pPr>
  </w:style>
  <w:style w:type="character" w:customStyle="1" w:styleId="apple-converted-space">
    <w:name w:val="apple-converted-space"/>
    <w:basedOn w:val="DefaultParagraphFont"/>
    <w:rsid w:val="002D2875"/>
  </w:style>
  <w:style w:type="character" w:customStyle="1" w:styleId="Heading2Char">
    <w:name w:val="Heading 2 Char"/>
    <w:basedOn w:val="DefaultParagraphFont"/>
    <w:link w:val="Heading2"/>
    <w:uiPriority w:val="9"/>
    <w:rsid w:val="00A51E94"/>
    <w:rPr>
      <w:rFonts w:ascii="Times New Roman" w:eastAsia="Times New Roman" w:hAnsi="Times New Roman" w:cs="Times New Roman"/>
      <w:sz w:val="38"/>
      <w:szCs w:val="38"/>
    </w:rPr>
  </w:style>
  <w:style w:type="character" w:customStyle="1" w:styleId="Heading3Char">
    <w:name w:val="Heading 3 Char"/>
    <w:basedOn w:val="DefaultParagraphFont"/>
    <w:link w:val="Heading3"/>
    <w:uiPriority w:val="9"/>
    <w:rsid w:val="00A51E9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E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12ECC"/>
  </w:style>
  <w:style w:type="paragraph" w:styleId="Footer">
    <w:name w:val="footer"/>
    <w:basedOn w:val="Normal"/>
    <w:link w:val="FooterChar"/>
    <w:uiPriority w:val="99"/>
    <w:unhideWhenUsed/>
    <w:rsid w:val="00912E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12ECC"/>
  </w:style>
  <w:style w:type="paragraph" w:styleId="BalloonText">
    <w:name w:val="Balloon Text"/>
    <w:basedOn w:val="Normal"/>
    <w:link w:val="BalloonTextChar"/>
    <w:uiPriority w:val="99"/>
    <w:semiHidden/>
    <w:unhideWhenUsed/>
    <w:rsid w:val="001B5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6D2"/>
    <w:rPr>
      <w:rFonts w:ascii="Tahoma" w:hAnsi="Tahoma" w:cs="Tahoma"/>
      <w:sz w:val="16"/>
      <w:szCs w:val="16"/>
    </w:rPr>
  </w:style>
  <w:style w:type="character" w:styleId="Hyperlink">
    <w:name w:val="Hyperlink"/>
    <w:basedOn w:val="DefaultParagraphFont"/>
    <w:uiPriority w:val="99"/>
    <w:unhideWhenUsed/>
    <w:rsid w:val="00664888"/>
    <w:rPr>
      <w:color w:val="0000FF"/>
      <w:u w:val="single"/>
    </w:rPr>
  </w:style>
  <w:style w:type="paragraph" w:styleId="FootnoteText">
    <w:name w:val="footnote text"/>
    <w:basedOn w:val="Normal"/>
    <w:link w:val="FootnoteTextChar"/>
    <w:semiHidden/>
    <w:rsid w:val="00DE035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E035D"/>
    <w:rPr>
      <w:rFonts w:ascii="Times New Roman" w:eastAsia="Times New Roman" w:hAnsi="Times New Roman" w:cs="Times New Roman"/>
      <w:sz w:val="20"/>
      <w:szCs w:val="20"/>
    </w:rPr>
  </w:style>
  <w:style w:type="character" w:styleId="FootnoteReference">
    <w:name w:val="footnote reference"/>
    <w:semiHidden/>
    <w:rsid w:val="00DE035D"/>
    <w:rPr>
      <w:vertAlign w:val="superscript"/>
    </w:rPr>
  </w:style>
  <w:style w:type="paragraph" w:styleId="EndnoteText">
    <w:name w:val="endnote text"/>
    <w:basedOn w:val="Normal"/>
    <w:link w:val="EndnoteTextChar"/>
    <w:uiPriority w:val="99"/>
    <w:semiHidden/>
    <w:unhideWhenUsed/>
    <w:rsid w:val="000D5C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5CC9"/>
    <w:rPr>
      <w:sz w:val="20"/>
      <w:szCs w:val="20"/>
    </w:rPr>
  </w:style>
  <w:style w:type="character" w:styleId="EndnoteReference">
    <w:name w:val="endnote reference"/>
    <w:basedOn w:val="DefaultParagraphFont"/>
    <w:uiPriority w:val="99"/>
    <w:semiHidden/>
    <w:unhideWhenUsed/>
    <w:rsid w:val="000D5CC9"/>
    <w:rPr>
      <w:vertAlign w:val="superscript"/>
    </w:rPr>
  </w:style>
  <w:style w:type="paragraph" w:styleId="ListParagraph">
    <w:name w:val="List Paragraph"/>
    <w:basedOn w:val="Normal"/>
    <w:uiPriority w:val="34"/>
    <w:qFormat/>
    <w:rsid w:val="005478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3369">
      <w:bodyDiv w:val="1"/>
      <w:marLeft w:val="0"/>
      <w:marRight w:val="0"/>
      <w:marTop w:val="72"/>
      <w:marBottom w:val="0"/>
      <w:divBdr>
        <w:top w:val="none" w:sz="0" w:space="0" w:color="auto"/>
        <w:left w:val="none" w:sz="0" w:space="0" w:color="auto"/>
        <w:bottom w:val="none" w:sz="0" w:space="0" w:color="auto"/>
        <w:right w:val="none" w:sz="0" w:space="0" w:color="auto"/>
      </w:divBdr>
      <w:divsChild>
        <w:div w:id="2143039488">
          <w:marLeft w:val="0"/>
          <w:marRight w:val="0"/>
          <w:marTop w:val="0"/>
          <w:marBottom w:val="0"/>
          <w:divBdr>
            <w:top w:val="none" w:sz="0" w:space="0" w:color="auto"/>
            <w:left w:val="none" w:sz="0" w:space="0" w:color="auto"/>
            <w:bottom w:val="none" w:sz="0" w:space="0" w:color="auto"/>
            <w:right w:val="none" w:sz="0" w:space="0" w:color="auto"/>
          </w:divBdr>
          <w:divsChild>
            <w:div w:id="17852860">
              <w:marLeft w:val="3270"/>
              <w:marRight w:val="0"/>
              <w:marTop w:val="0"/>
              <w:marBottom w:val="0"/>
              <w:divBdr>
                <w:top w:val="none" w:sz="0" w:space="0" w:color="auto"/>
                <w:left w:val="none" w:sz="0" w:space="0" w:color="auto"/>
                <w:bottom w:val="none" w:sz="0" w:space="0" w:color="auto"/>
                <w:right w:val="none" w:sz="0" w:space="0" w:color="auto"/>
              </w:divBdr>
              <w:divsChild>
                <w:div w:id="1412701730">
                  <w:marLeft w:val="120"/>
                  <w:marRight w:val="0"/>
                  <w:marTop w:val="120"/>
                  <w:marBottom w:val="0"/>
                  <w:divBdr>
                    <w:top w:val="none" w:sz="0" w:space="0" w:color="auto"/>
                    <w:left w:val="none" w:sz="0" w:space="0" w:color="auto"/>
                    <w:bottom w:val="none" w:sz="0" w:space="0" w:color="auto"/>
                    <w:right w:val="none" w:sz="0" w:space="0" w:color="auto"/>
                  </w:divBdr>
                  <w:divsChild>
                    <w:div w:id="1373724791">
                      <w:marLeft w:val="0"/>
                      <w:marRight w:val="0"/>
                      <w:marTop w:val="0"/>
                      <w:marBottom w:val="0"/>
                      <w:divBdr>
                        <w:top w:val="none" w:sz="0" w:space="0" w:color="auto"/>
                        <w:left w:val="none" w:sz="0" w:space="0" w:color="auto"/>
                        <w:bottom w:val="none" w:sz="0" w:space="0" w:color="auto"/>
                        <w:right w:val="none" w:sz="0" w:space="0" w:color="auto"/>
                      </w:divBdr>
                      <w:divsChild>
                        <w:div w:id="5834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7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2.sldx"/><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package" Target="embeddings/Microsoft_PowerPoint_Slide5.sl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hyperlink" Target="http://www.tau.ac.il/~alexcuk/pdf/Online%20Published%20Version%2013.2.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3.sldx"/><Relationship Id="rId23" Type="http://schemas.openxmlformats.org/officeDocument/2006/relationships/package" Target="embeddings/Microsoft_PowerPoint_Slide4.sldx"/><Relationship Id="rId28" Type="http://schemas.openxmlformats.org/officeDocument/2006/relationships/hyperlink" Target="http://www.tau.ac.il/~alexcuk/pdf/Online%20Published%20Version%2013.2.20.pdf" TargetMode="External"/><Relationship Id="rId10" Type="http://schemas.openxmlformats.org/officeDocument/2006/relationships/image" Target="media/image1.wmf"/><Relationship Id="rId19" Type="http://schemas.openxmlformats.org/officeDocument/2006/relationships/chart" Target="charts/chart1.xml"/><Relationship Id="rId31" Type="http://schemas.openxmlformats.org/officeDocument/2006/relationships/hyperlink" Target="http://www.tau.ac.il/~alexcuk/pdf/FPAM,%20RAP,%20GM%20&amp;%20Great%20Inflation-11-08%20Revision.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hyperlink" Target="http://www.tau.ac.il/~alexcuk/pdf/BU.13.04.01.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lexcuk@post.tau.ac.i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US%20Bonds%20issuanc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wnloads\US%20Bonds%20issuanc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wnloads\US%20Bonds%20issu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6667927013325093E-2"/>
          <c:y val="0.1287405442848982"/>
          <c:w val="0.92052695093785497"/>
          <c:h val="0.6199221096536377"/>
        </c:manualLayout>
      </c:layout>
      <c:barChart>
        <c:barDir val="col"/>
        <c:grouping val="clustered"/>
        <c:varyColors val="0"/>
        <c:ser>
          <c:idx val="0"/>
          <c:order val="0"/>
          <c:spPr>
            <a:solidFill>
              <a:schemeClr val="tx2">
                <a:lumMod val="60000"/>
                <a:lumOff val="40000"/>
              </a:schemeClr>
            </a:solidFill>
            <a:ln>
              <a:solidFill>
                <a:schemeClr val="tx2">
                  <a:lumMod val="75000"/>
                </a:schemeClr>
              </a:solidFill>
            </a:ln>
          </c:spPr>
          <c:invertIfNegative val="0"/>
          <c:cat>
            <c:numRef>
              <c:f>'Corporate bonds'!$B$2:$B$16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'Corporate bonds'!$C$2:$C$16</c:f>
              <c:numCache>
                <c:formatCode>0.00</c:formatCode>
                <c:ptCount val="15"/>
                <c:pt idx="0">
                  <c:v>280.49099999999993</c:v>
                </c:pt>
                <c:pt idx="1">
                  <c:v>424.09000000000015</c:v>
                </c:pt>
                <c:pt idx="2">
                  <c:v>210.828</c:v>
                </c:pt>
                <c:pt idx="3">
                  <c:v>274.93199999999968</c:v>
                </c:pt>
                <c:pt idx="4">
                  <c:v>227.54399999999984</c:v>
                </c:pt>
                <c:pt idx="5">
                  <c:v>66.059000000000182</c:v>
                </c:pt>
                <c:pt idx="6">
                  <c:v>238.48500000000061</c:v>
                </c:pt>
                <c:pt idx="7">
                  <c:v>411.81299999999919</c:v>
                </c:pt>
                <c:pt idx="8">
                  <c:v>163.26000000000022</c:v>
                </c:pt>
                <c:pt idx="9">
                  <c:v>516.90999999999974</c:v>
                </c:pt>
                <c:pt idx="10">
                  <c:v>609.11000000000058</c:v>
                </c:pt>
                <c:pt idx="11">
                  <c:v>74.294999999999177</c:v>
                </c:pt>
                <c:pt idx="12">
                  <c:v>431.06500000000051</c:v>
                </c:pt>
                <c:pt idx="13">
                  <c:v>408.49200000000019</c:v>
                </c:pt>
                <c:pt idx="14">
                  <c:v>387.8760000000002</c:v>
                </c:pt>
              </c:numCache>
            </c:numRef>
          </c:val>
        </c:ser>
        <c:dLbls>
          <c:showLegendKey val="0"/>
          <c:showVal val="0"/>
          <c:showCatName val="0"/>
          <c:showSerName val="0"/>
          <c:showPercent val="0"/>
          <c:showBubbleSize val="0"/>
        </c:dLbls>
        <c:gapWidth val="0"/>
        <c:axId val="122868096"/>
        <c:axId val="122869632"/>
      </c:barChart>
      <c:catAx>
        <c:axId val="122868096"/>
        <c:scaling>
          <c:orientation val="minMax"/>
        </c:scaling>
        <c:delete val="0"/>
        <c:axPos val="b"/>
        <c:numFmt formatCode="General" sourceLinked="1"/>
        <c:majorTickMark val="none"/>
        <c:minorTickMark val="none"/>
        <c:tickLblPos val="nextTo"/>
        <c:crossAx val="122869632"/>
        <c:crosses val="autoZero"/>
        <c:auto val="1"/>
        <c:lblAlgn val="ctr"/>
        <c:lblOffset val="100"/>
        <c:noMultiLvlLbl val="0"/>
      </c:catAx>
      <c:valAx>
        <c:axId val="122869632"/>
        <c:scaling>
          <c:orientation val="minMax"/>
        </c:scaling>
        <c:delete val="0"/>
        <c:axPos val="l"/>
        <c:majorGridlines/>
        <c:numFmt formatCode="0.00" sourceLinked="1"/>
        <c:majorTickMark val="none"/>
        <c:minorTickMark val="none"/>
        <c:tickLblPos val="nextTo"/>
        <c:crossAx val="122868096"/>
        <c:crosses val="autoZero"/>
        <c:crossBetween val="between"/>
      </c:valAx>
      <c:spPr>
        <a:noFill/>
      </c:spPr>
    </c:plotArea>
    <c:plotVisOnly val="1"/>
    <c:dispBlanksAs val="gap"/>
    <c:showDLblsOverMax val="0"/>
  </c:chart>
  <c:spPr>
    <a:ln>
      <a:solidFill>
        <a:schemeClr val="bg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51519363988692E-2"/>
          <c:y val="0.17286710110913481"/>
          <c:w val="0.85072573998868151"/>
          <c:h val="0.65704937406794062"/>
        </c:manualLayout>
      </c:layout>
      <c:barChart>
        <c:barDir val="col"/>
        <c:grouping val="clustered"/>
        <c:varyColors val="0"/>
        <c:ser>
          <c:idx val="0"/>
          <c:order val="0"/>
          <c:spPr>
            <a:solidFill>
              <a:schemeClr val="accent1">
                <a:lumMod val="20000"/>
                <a:lumOff val="80000"/>
              </a:schemeClr>
            </a:solidFill>
            <a:ln>
              <a:solidFill>
                <a:schemeClr val="accent1">
                  <a:lumMod val="60000"/>
                  <a:lumOff val="40000"/>
                </a:schemeClr>
              </a:solidFill>
            </a:ln>
          </c:spPr>
          <c:invertIfNegative val="0"/>
          <c:cat>
            <c:numRef>
              <c:f>'M+AB+FED+MC'!$B$3:$B$17</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'M+AB+FED+MC'!$G$3:$G$17</c:f>
              <c:numCache>
                <c:formatCode>0.00</c:formatCode>
                <c:ptCount val="15"/>
                <c:pt idx="0">
                  <c:v>660.5050788384026</c:v>
                </c:pt>
                <c:pt idx="1">
                  <c:v>1130.4006077887011</c:v>
                </c:pt>
                <c:pt idx="2">
                  <c:v>1045.1151934462252</c:v>
                </c:pt>
                <c:pt idx="3">
                  <c:v>898.47763922723595</c:v>
                </c:pt>
                <c:pt idx="4">
                  <c:v>1680.2348502263833</c:v>
                </c:pt>
                <c:pt idx="5">
                  <c:v>1209.1662607008495</c:v>
                </c:pt>
                <c:pt idx="6">
                  <c:v>1725.3099666303297</c:v>
                </c:pt>
                <c:pt idx="7">
                  <c:v>1800.4739562728862</c:v>
                </c:pt>
                <c:pt idx="8">
                  <c:v>342.21842640253379</c:v>
                </c:pt>
                <c:pt idx="9">
                  <c:v>-560.96575559992607</c:v>
                </c:pt>
                <c:pt idx="10">
                  <c:v>-414.98746939665079</c:v>
                </c:pt>
                <c:pt idx="11">
                  <c:v>-588.55987033535837</c:v>
                </c:pt>
                <c:pt idx="12">
                  <c:v>-541.42738112637551</c:v>
                </c:pt>
                <c:pt idx="13">
                  <c:v>-178.11286378639278</c:v>
                </c:pt>
                <c:pt idx="14">
                  <c:v>45.31318472174415</c:v>
                </c:pt>
              </c:numCache>
            </c:numRef>
          </c:val>
        </c:ser>
        <c:dLbls>
          <c:showLegendKey val="0"/>
          <c:showVal val="0"/>
          <c:showCatName val="0"/>
          <c:showSerName val="0"/>
          <c:showPercent val="0"/>
          <c:showBubbleSize val="0"/>
        </c:dLbls>
        <c:gapWidth val="0"/>
        <c:overlap val="-25"/>
        <c:axId val="123088256"/>
        <c:axId val="123094144"/>
      </c:barChart>
      <c:catAx>
        <c:axId val="123088256"/>
        <c:scaling>
          <c:orientation val="minMax"/>
        </c:scaling>
        <c:delete val="0"/>
        <c:axPos val="b"/>
        <c:numFmt formatCode="General" sourceLinked="1"/>
        <c:majorTickMark val="none"/>
        <c:minorTickMark val="none"/>
        <c:tickLblPos val="nextTo"/>
        <c:crossAx val="123094144"/>
        <c:crosses val="autoZero"/>
        <c:auto val="1"/>
        <c:lblAlgn val="ctr"/>
        <c:lblOffset val="100"/>
        <c:noMultiLvlLbl val="0"/>
      </c:catAx>
      <c:valAx>
        <c:axId val="123094144"/>
        <c:scaling>
          <c:orientation val="minMax"/>
        </c:scaling>
        <c:delete val="0"/>
        <c:axPos val="l"/>
        <c:majorGridlines/>
        <c:numFmt formatCode="0.00" sourceLinked="1"/>
        <c:majorTickMark val="none"/>
        <c:minorTickMark val="none"/>
        <c:tickLblPos val="nextTo"/>
        <c:spPr>
          <a:ln w="9525">
            <a:noFill/>
          </a:ln>
        </c:spPr>
        <c:crossAx val="123088256"/>
        <c:crosses val="autoZero"/>
        <c:crossBetween val="between"/>
      </c:valAx>
    </c:plotArea>
    <c:plotVisOnly val="1"/>
    <c:dispBlanksAs val="gap"/>
    <c:showDLblsOverMax val="0"/>
  </c:chart>
  <c:spPr>
    <a:ln>
      <a:solidFill>
        <a:schemeClr val="bg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519969807695609E-2"/>
          <c:y val="0.19020792779521714"/>
          <c:w val="0.90737110802326149"/>
          <c:h val="0.5869215345854597"/>
        </c:manualLayout>
      </c:layout>
      <c:barChart>
        <c:barDir val="col"/>
        <c:grouping val="clustered"/>
        <c:varyColors val="0"/>
        <c:ser>
          <c:idx val="0"/>
          <c:order val="0"/>
          <c:spPr>
            <a:solidFill>
              <a:schemeClr val="accent5">
                <a:lumMod val="40000"/>
                <a:lumOff val="60000"/>
              </a:schemeClr>
            </a:solidFill>
            <a:ln>
              <a:solidFill>
                <a:schemeClr val="accent5">
                  <a:lumMod val="75000"/>
                </a:schemeClr>
              </a:solidFill>
            </a:ln>
          </c:spPr>
          <c:invertIfNegative val="0"/>
          <c:cat>
            <c:numRef>
              <c:f>'Total including treasuries'!$A$2:$A$16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'Total including treasuries'!$B$2:$B$16</c:f>
              <c:numCache>
                <c:formatCode>#,##0.0</c:formatCode>
                <c:ptCount val="15"/>
                <c:pt idx="0">
                  <c:v>990.06657883840489</c:v>
                </c:pt>
                <c:pt idx="1">
                  <c:v>1469.2646077887002</c:v>
                </c:pt>
                <c:pt idx="2">
                  <c:v>1415.4826934462303</c:v>
                </c:pt>
                <c:pt idx="3">
                  <c:v>1522.32263922723</c:v>
                </c:pt>
                <c:pt idx="4">
                  <c:v>2656.5383502263803</c:v>
                </c:pt>
                <c:pt idx="5">
                  <c:v>2038.0357607008502</c:v>
                </c:pt>
                <c:pt idx="6">
                  <c:v>2724.1429666303302</c:v>
                </c:pt>
                <c:pt idx="7">
                  <c:v>2576.9094562728806</c:v>
                </c:pt>
                <c:pt idx="8">
                  <c:v>1400.9189264025301</c:v>
                </c:pt>
                <c:pt idx="9">
                  <c:v>737.50274440008104</c:v>
                </c:pt>
                <c:pt idx="10">
                  <c:v>1523.46153060334</c:v>
                </c:pt>
                <c:pt idx="11">
                  <c:v>299.60662966464605</c:v>
                </c:pt>
                <c:pt idx="12">
                  <c:v>900.32111887362385</c:v>
                </c:pt>
                <c:pt idx="13">
                  <c:v>1140.0721362136096</c:v>
                </c:pt>
                <c:pt idx="14">
                  <c:v>1273.1696847217402</c:v>
                </c:pt>
              </c:numCache>
            </c:numRef>
          </c:val>
        </c:ser>
        <c:dLbls>
          <c:showLegendKey val="0"/>
          <c:showVal val="0"/>
          <c:showCatName val="0"/>
          <c:showSerName val="0"/>
          <c:showPercent val="0"/>
          <c:showBubbleSize val="0"/>
        </c:dLbls>
        <c:gapWidth val="0"/>
        <c:axId val="123128064"/>
        <c:axId val="123129856"/>
      </c:barChart>
      <c:catAx>
        <c:axId val="123128064"/>
        <c:scaling>
          <c:orientation val="minMax"/>
        </c:scaling>
        <c:delete val="0"/>
        <c:axPos val="b"/>
        <c:numFmt formatCode="General" sourceLinked="1"/>
        <c:majorTickMark val="none"/>
        <c:minorTickMark val="none"/>
        <c:tickLblPos val="nextTo"/>
        <c:crossAx val="123129856"/>
        <c:crosses val="autoZero"/>
        <c:auto val="1"/>
        <c:lblAlgn val="ctr"/>
        <c:lblOffset val="100"/>
        <c:noMultiLvlLbl val="0"/>
      </c:catAx>
      <c:valAx>
        <c:axId val="123129856"/>
        <c:scaling>
          <c:orientation val="minMax"/>
        </c:scaling>
        <c:delete val="0"/>
        <c:axPos val="l"/>
        <c:majorGridlines/>
        <c:numFmt formatCode="#,##0.0" sourceLinked="1"/>
        <c:majorTickMark val="none"/>
        <c:minorTickMark val="none"/>
        <c:tickLblPos val="nextTo"/>
        <c:crossAx val="123128064"/>
        <c:crosses val="autoZero"/>
        <c:crossBetween val="between"/>
      </c:valAx>
    </c:plotArea>
    <c:plotVisOnly val="1"/>
    <c:dispBlanksAs val="gap"/>
    <c:showDLblsOverMax val="0"/>
  </c:chart>
  <c:spPr>
    <a:ln>
      <a:solidFill>
        <a:schemeClr val="bg1"/>
      </a:solid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0.006</cdr:x>
      <cdr:y>0.92223</cdr:y>
    </cdr:from>
    <cdr:to>
      <cdr:x>0.44898</cdr:x>
      <cdr:y>0.97692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4010025"/>
          <a:ext cx="3514725" cy="237765"/>
        </a:xfrm>
        <a:prstGeom xmlns:a="http://schemas.openxmlformats.org/drawingml/2006/main" prst="rect">
          <a:avLst/>
        </a:prstGeom>
      </cdr:spPr>
    </cdr:pic>
  </cdr:relSizeAnchor>
  <cdr:relSizeAnchor xmlns:cdr="http://schemas.openxmlformats.org/drawingml/2006/chartDrawing">
    <cdr:from>
      <cdr:x>0.01801</cdr:x>
      <cdr:y>0.01862</cdr:y>
    </cdr:from>
    <cdr:to>
      <cdr:x>0.98439</cdr:x>
      <cdr:y>0.11062</cdr:y>
    </cdr:to>
    <cdr:sp macro="" textlink="">
      <cdr:nvSpPr>
        <cdr:cNvPr id="3" name="TextBox 2"/>
        <cdr:cNvSpPr txBox="1"/>
      </cdr:nvSpPr>
      <cdr:spPr>
        <a:xfrm xmlns:a="http://schemas.openxmlformats.org/drawingml/2006/main">
          <a:off x="142875" y="80964"/>
          <a:ext cx="7667625" cy="400050"/>
        </a:xfrm>
        <a:prstGeom xmlns:a="http://schemas.openxmlformats.org/drawingml/2006/main" prst="rect">
          <a:avLst/>
        </a:prstGeom>
        <a:solidFill xmlns:a="http://schemas.openxmlformats.org/drawingml/2006/main">
          <a:schemeClr val="accent4">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mn-lt"/>
              <a:ea typeface="+mn-ea"/>
              <a:cs typeface="+mn-cs"/>
            </a:rPr>
            <a:t>Figure 6: Total net new issuance of corporate bonds</a:t>
          </a:r>
        </a:p>
        <a:p xmlns:a="http://schemas.openxmlformats.org/drawingml/2006/main">
          <a:endParaRPr lang="en-US" sz="1200"/>
        </a:p>
      </cdr:txBody>
    </cdr:sp>
  </cdr:relSizeAnchor>
  <cdr:relSizeAnchor xmlns:cdr="http://schemas.openxmlformats.org/drawingml/2006/chartDrawing">
    <cdr:from>
      <cdr:x>0.52968</cdr:x>
      <cdr:y>0.80426</cdr:y>
    </cdr:from>
    <cdr:to>
      <cdr:x>0.62433</cdr:x>
      <cdr:y>0.97482</cdr:y>
    </cdr:to>
    <cdr:sp macro="" textlink="">
      <cdr:nvSpPr>
        <cdr:cNvPr id="9" name="TextBox 8"/>
        <cdr:cNvSpPr txBox="1"/>
      </cdr:nvSpPr>
      <cdr:spPr>
        <a:xfrm xmlns:a="http://schemas.openxmlformats.org/drawingml/2006/main">
          <a:off x="3151543" y="2839510"/>
          <a:ext cx="563207" cy="6021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Bear-Stern</a:t>
          </a:r>
          <a:r>
            <a:rPr lang="en-US" sz="900" baseline="0">
              <a:solidFill>
                <a:srgbClr val="FF0000"/>
              </a:solidFill>
            </a:rPr>
            <a:t> rescue</a:t>
          </a:r>
          <a:endParaRPr lang="en-US" sz="900">
            <a:solidFill>
              <a:srgbClr val="FF0000"/>
            </a:solidFill>
          </a:endParaRPr>
        </a:p>
      </cdr:txBody>
    </cdr:sp>
  </cdr:relSizeAnchor>
  <cdr:relSizeAnchor xmlns:cdr="http://schemas.openxmlformats.org/drawingml/2006/chartDrawing">
    <cdr:from>
      <cdr:x>0.59264</cdr:x>
      <cdr:y>0.80723</cdr:y>
    </cdr:from>
    <cdr:to>
      <cdr:x>0.69904</cdr:x>
      <cdr:y>0.93525</cdr:y>
    </cdr:to>
    <cdr:sp macro="" textlink="">
      <cdr:nvSpPr>
        <cdr:cNvPr id="10" name="TextBox 9"/>
        <cdr:cNvSpPr txBox="1"/>
      </cdr:nvSpPr>
      <cdr:spPr>
        <a:xfrm xmlns:a="http://schemas.openxmlformats.org/drawingml/2006/main">
          <a:off x="3526160" y="2850006"/>
          <a:ext cx="633090" cy="451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Lehman's collapse</a:t>
          </a:r>
        </a:p>
      </cdr:txBody>
    </cdr:sp>
  </cdr:relSizeAnchor>
  <cdr:relSizeAnchor xmlns:cdr="http://schemas.openxmlformats.org/drawingml/2006/chartDrawing">
    <cdr:from>
      <cdr:x>0.58664</cdr:x>
      <cdr:y>0.11281</cdr:y>
    </cdr:from>
    <cdr:to>
      <cdr:x>0.58784</cdr:x>
      <cdr:y>0.74589</cdr:y>
    </cdr:to>
    <cdr:sp macro="" textlink="">
      <cdr:nvSpPr>
        <cdr:cNvPr id="12" name="Straight Connector 11"/>
        <cdr:cNvSpPr/>
      </cdr:nvSpPr>
      <cdr:spPr>
        <a:xfrm xmlns:a="http://schemas.openxmlformats.org/drawingml/2006/main" flipV="1">
          <a:off x="3490460" y="398287"/>
          <a:ext cx="7140" cy="223515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0.61238</cdr:x>
      <cdr:y>0.10812</cdr:y>
    </cdr:from>
    <cdr:to>
      <cdr:x>0.61358</cdr:x>
      <cdr:y>0.74229</cdr:y>
    </cdr:to>
    <cdr:sp macro="" textlink="">
      <cdr:nvSpPr>
        <cdr:cNvPr id="14" name="Straight Connector 13"/>
        <cdr:cNvSpPr/>
      </cdr:nvSpPr>
      <cdr:spPr>
        <a:xfrm xmlns:a="http://schemas.openxmlformats.org/drawingml/2006/main" flipV="1">
          <a:off x="3643618" y="381739"/>
          <a:ext cx="7140" cy="223900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0.01892</cdr:x>
      <cdr:y>2.78234E-7</cdr:y>
    </cdr:from>
    <cdr:to>
      <cdr:x>0.971</cdr:x>
      <cdr:y>0.12933</cdr:y>
    </cdr:to>
    <cdr:sp macro="" textlink="">
      <cdr:nvSpPr>
        <cdr:cNvPr id="3" name="TextBox 2"/>
        <cdr:cNvSpPr txBox="1"/>
      </cdr:nvSpPr>
      <cdr:spPr>
        <a:xfrm xmlns:a="http://schemas.openxmlformats.org/drawingml/2006/main">
          <a:off x="118820" y="1"/>
          <a:ext cx="5979206" cy="464820"/>
        </a:xfrm>
        <a:prstGeom xmlns:a="http://schemas.openxmlformats.org/drawingml/2006/main" prst="rect">
          <a:avLst/>
        </a:prstGeom>
        <a:solidFill xmlns:a="http://schemas.openxmlformats.org/drawingml/2006/main">
          <a:schemeClr val="accent4">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mn-lt"/>
              <a:ea typeface="+mn-ea"/>
              <a:cs typeface="+mn-cs"/>
            </a:rPr>
            <a:t>Figure 7: Total net new issuance of Mortgage related, Asset-backed bonds, plus Federal Agency Securities and Municipal bonds</a:t>
          </a:r>
          <a:endParaRPr lang="en-US" sz="1200"/>
        </a:p>
        <a:p xmlns:a="http://schemas.openxmlformats.org/drawingml/2006/main">
          <a:endParaRPr lang="en-US" sz="1200"/>
        </a:p>
      </cdr:txBody>
    </cdr:sp>
  </cdr:relSizeAnchor>
  <cdr:relSizeAnchor xmlns:cdr="http://schemas.openxmlformats.org/drawingml/2006/chartDrawing">
    <cdr:from>
      <cdr:x>0.01513</cdr:x>
      <cdr:y>0.88309</cdr:y>
    </cdr:from>
    <cdr:to>
      <cdr:x>0.49396</cdr:x>
      <cdr:y>0.93739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4300" y="4029077"/>
          <a:ext cx="3616743" cy="247758"/>
        </a:xfrm>
        <a:prstGeom xmlns:a="http://schemas.openxmlformats.org/drawingml/2006/main" prst="rect">
          <a:avLst/>
        </a:prstGeom>
      </cdr:spPr>
    </cdr:pic>
  </cdr:relSizeAnchor>
  <cdr:relSizeAnchor xmlns:cdr="http://schemas.openxmlformats.org/drawingml/2006/chartDrawing">
    <cdr:from>
      <cdr:x>0.52585</cdr:x>
      <cdr:y>0.83925</cdr:y>
    </cdr:from>
    <cdr:to>
      <cdr:x>0.60874</cdr:x>
      <cdr:y>1</cdr:y>
    </cdr:to>
    <cdr:sp macro="" textlink="">
      <cdr:nvSpPr>
        <cdr:cNvPr id="5" name="TextBox 4"/>
        <cdr:cNvSpPr txBox="1"/>
      </cdr:nvSpPr>
      <cdr:spPr>
        <a:xfrm xmlns:a="http://schemas.openxmlformats.org/drawingml/2006/main">
          <a:off x="3055320" y="2931081"/>
          <a:ext cx="481630" cy="561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Bear-Stern</a:t>
          </a:r>
          <a:r>
            <a:rPr lang="en-US" sz="900" baseline="0">
              <a:solidFill>
                <a:srgbClr val="FF0000"/>
              </a:solidFill>
            </a:rPr>
            <a:t> rescue</a:t>
          </a:r>
          <a:endParaRPr lang="en-US" sz="900">
            <a:solidFill>
              <a:srgbClr val="FF0000"/>
            </a:solidFill>
          </a:endParaRPr>
        </a:p>
      </cdr:txBody>
    </cdr:sp>
  </cdr:relSizeAnchor>
  <cdr:relSizeAnchor xmlns:cdr="http://schemas.openxmlformats.org/drawingml/2006/chartDrawing">
    <cdr:from>
      <cdr:x>0.58008</cdr:x>
      <cdr:y>0.83925</cdr:y>
    </cdr:from>
    <cdr:to>
      <cdr:x>0.68525</cdr:x>
      <cdr:y>0.97818</cdr:y>
    </cdr:to>
    <cdr:sp macro="" textlink="">
      <cdr:nvSpPr>
        <cdr:cNvPr id="6" name="TextBox 5"/>
        <cdr:cNvSpPr txBox="1"/>
      </cdr:nvSpPr>
      <cdr:spPr>
        <a:xfrm xmlns:a="http://schemas.openxmlformats.org/drawingml/2006/main">
          <a:off x="3370410" y="2931080"/>
          <a:ext cx="611040" cy="485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Lehman's</a:t>
          </a:r>
          <a:r>
            <a:rPr lang="en-US" sz="900" baseline="0">
              <a:solidFill>
                <a:srgbClr val="FF0000"/>
              </a:solidFill>
            </a:rPr>
            <a:t> collapse</a:t>
          </a:r>
          <a:endParaRPr lang="en-US" sz="900">
            <a:solidFill>
              <a:srgbClr val="FF0000"/>
            </a:solidFill>
          </a:endParaRPr>
        </a:p>
      </cdr:txBody>
    </cdr:sp>
  </cdr:relSizeAnchor>
  <cdr:relSizeAnchor xmlns:cdr="http://schemas.openxmlformats.org/drawingml/2006/chartDrawing">
    <cdr:from>
      <cdr:x>0.59143</cdr:x>
      <cdr:y>0.13987</cdr:y>
    </cdr:from>
    <cdr:to>
      <cdr:x>0.59143</cdr:x>
      <cdr:y>0.82881</cdr:y>
    </cdr:to>
    <cdr:sp macro="" textlink="">
      <cdr:nvSpPr>
        <cdr:cNvPr id="9" name="Straight Connector 8"/>
        <cdr:cNvSpPr/>
      </cdr:nvSpPr>
      <cdr:spPr>
        <a:xfrm xmlns:a="http://schemas.openxmlformats.org/drawingml/2006/main" flipV="1">
          <a:off x="4467226" y="638176"/>
          <a:ext cx="0" cy="314325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0.56697</cdr:x>
      <cdr:y>0.13722</cdr:y>
    </cdr:from>
    <cdr:to>
      <cdr:x>0.56697</cdr:x>
      <cdr:y>0.82616</cdr:y>
    </cdr:to>
    <cdr:sp macro="" textlink="">
      <cdr:nvSpPr>
        <cdr:cNvPr id="10" name="Straight Connector 9"/>
        <cdr:cNvSpPr/>
      </cdr:nvSpPr>
      <cdr:spPr>
        <a:xfrm xmlns:a="http://schemas.openxmlformats.org/drawingml/2006/main" flipV="1">
          <a:off x="3560657" y="493182"/>
          <a:ext cx="0" cy="247611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0.00654</cdr:x>
      <cdr:y>0.89978</cdr:y>
    </cdr:from>
    <cdr:to>
      <cdr:x>0.49348</cdr:x>
      <cdr:y>0.95537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625" y="3848100"/>
          <a:ext cx="3548180" cy="237765"/>
        </a:xfrm>
        <a:prstGeom xmlns:a="http://schemas.openxmlformats.org/drawingml/2006/main" prst="rect">
          <a:avLst/>
        </a:prstGeom>
      </cdr:spPr>
    </cdr:pic>
  </cdr:relSizeAnchor>
  <cdr:relSizeAnchor xmlns:cdr="http://schemas.openxmlformats.org/drawingml/2006/chartDrawing">
    <cdr:from>
      <cdr:x>0.0183</cdr:x>
      <cdr:y>0.02673</cdr:y>
    </cdr:from>
    <cdr:to>
      <cdr:x>0.98693</cdr:x>
      <cdr:y>0.1559</cdr:y>
    </cdr:to>
    <cdr:sp macro="" textlink="">
      <cdr:nvSpPr>
        <cdr:cNvPr id="3" name="TextBox 2"/>
        <cdr:cNvSpPr txBox="1"/>
      </cdr:nvSpPr>
      <cdr:spPr>
        <a:xfrm xmlns:a="http://schemas.openxmlformats.org/drawingml/2006/main">
          <a:off x="133350" y="114301"/>
          <a:ext cx="7058025" cy="552450"/>
        </a:xfrm>
        <a:prstGeom xmlns:a="http://schemas.openxmlformats.org/drawingml/2006/main" prst="rect">
          <a:avLst/>
        </a:prstGeom>
        <a:solidFill xmlns:a="http://schemas.openxmlformats.org/drawingml/2006/main">
          <a:schemeClr val="accent4">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mn-lt"/>
              <a:ea typeface="+mn-ea"/>
              <a:cs typeface="+mn-cs"/>
            </a:rPr>
            <a:t>Figure 8: Total net new issuance of bonds (including treasury bills)</a:t>
          </a:r>
          <a:endParaRPr lang="en-US" sz="1200"/>
        </a:p>
        <a:p xmlns:a="http://schemas.openxmlformats.org/drawingml/2006/main">
          <a:endParaRPr lang="en-US" sz="1200"/>
        </a:p>
      </cdr:txBody>
    </cdr:sp>
  </cdr:relSizeAnchor>
  <cdr:relSizeAnchor xmlns:cdr="http://schemas.openxmlformats.org/drawingml/2006/chartDrawing">
    <cdr:from>
      <cdr:x>0.59306</cdr:x>
      <cdr:y>0.82481</cdr:y>
    </cdr:from>
    <cdr:to>
      <cdr:x>0.69765</cdr:x>
      <cdr:y>0.90217</cdr:y>
    </cdr:to>
    <cdr:sp macro="" textlink="">
      <cdr:nvSpPr>
        <cdr:cNvPr id="4" name="TextBox 3"/>
        <cdr:cNvSpPr txBox="1"/>
      </cdr:nvSpPr>
      <cdr:spPr>
        <a:xfrm xmlns:a="http://schemas.openxmlformats.org/drawingml/2006/main">
          <a:off x="3686838" y="3854822"/>
          <a:ext cx="650212" cy="361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FF0000"/>
              </a:solidFill>
            </a:rPr>
            <a:t>Lehman's collapse</a:t>
          </a:r>
        </a:p>
      </cdr:txBody>
    </cdr:sp>
  </cdr:relSizeAnchor>
  <cdr:relSizeAnchor xmlns:cdr="http://schemas.openxmlformats.org/drawingml/2006/chartDrawing">
    <cdr:from>
      <cdr:x>0.57593</cdr:x>
      <cdr:y>0.15772</cdr:y>
    </cdr:from>
    <cdr:to>
      <cdr:x>0.57593</cdr:x>
      <cdr:y>0.77688</cdr:y>
    </cdr:to>
    <cdr:sp macro="" textlink="">
      <cdr:nvSpPr>
        <cdr:cNvPr id="6" name="Straight Connector 5"/>
        <cdr:cNvSpPr/>
      </cdr:nvSpPr>
      <cdr:spPr>
        <a:xfrm xmlns:a="http://schemas.openxmlformats.org/drawingml/2006/main" flipV="1">
          <a:off x="3843678" y="823276"/>
          <a:ext cx="0" cy="323182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0.60215</cdr:x>
      <cdr:y>0.15501</cdr:y>
    </cdr:from>
    <cdr:to>
      <cdr:x>0.60215</cdr:x>
      <cdr:y>0.77417</cdr:y>
    </cdr:to>
    <cdr:sp macro="" textlink="">
      <cdr:nvSpPr>
        <cdr:cNvPr id="7" name="Straight Connector 6"/>
        <cdr:cNvSpPr/>
      </cdr:nvSpPr>
      <cdr:spPr>
        <a:xfrm xmlns:a="http://schemas.openxmlformats.org/drawingml/2006/main" flipV="1">
          <a:off x="4018657" y="809092"/>
          <a:ext cx="0" cy="3231829"/>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0.52911</cdr:x>
      <cdr:y>0.82065</cdr:y>
    </cdr:from>
    <cdr:to>
      <cdr:x>0.61389</cdr:x>
      <cdr:y>0.94293</cdr:y>
    </cdr:to>
    <cdr:sp macro="" textlink="">
      <cdr:nvSpPr>
        <cdr:cNvPr id="8" name="TextBox 1"/>
        <cdr:cNvSpPr txBox="1"/>
      </cdr:nvSpPr>
      <cdr:spPr>
        <a:xfrm xmlns:a="http://schemas.openxmlformats.org/drawingml/2006/main">
          <a:off x="3289300" y="3835400"/>
          <a:ext cx="527050" cy="571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a:solidFill>
                <a:srgbClr val="FF0000"/>
              </a:solidFill>
            </a:rPr>
            <a:t>Bear-Stern rescue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2EA59-45A3-4E04-B0AD-9B5C3CFA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32</Pages>
  <Words>8021</Words>
  <Characters>45722</Characters>
  <Application>Microsoft Office Word</Application>
  <DocSecurity>0</DocSecurity>
  <Lines>381</Lines>
  <Paragraphs>107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53636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105</cp:revision>
  <cp:lastPrinted>2015-10-30T17:42:00Z</cp:lastPrinted>
  <dcterms:created xsi:type="dcterms:W3CDTF">2015-10-27T15:34:00Z</dcterms:created>
  <dcterms:modified xsi:type="dcterms:W3CDTF">2015-11-07T20:01:00Z</dcterms:modified>
</cp:coreProperties>
</file>