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B586D" w14:textId="77777777" w:rsidR="00482F91" w:rsidRDefault="00482F91" w:rsidP="00482F91">
      <w:pPr>
        <w:pStyle w:val="Title"/>
        <w:rPr>
          <w:b/>
          <w:bCs/>
        </w:rPr>
      </w:pPr>
      <w:bookmarkStart w:id="0" w:name="_GoBack"/>
      <w:bookmarkEnd w:id="0"/>
      <w:r w:rsidRPr="00015EA4">
        <w:rPr>
          <w:b/>
          <w:bCs/>
        </w:rPr>
        <w:t>Enforc</w:t>
      </w:r>
      <w:r>
        <w:rPr>
          <w:b/>
          <w:bCs/>
        </w:rPr>
        <w:t xml:space="preserve">ing </w:t>
      </w:r>
      <w:r w:rsidRPr="00015EA4">
        <w:rPr>
          <w:b/>
          <w:bCs/>
        </w:rPr>
        <w:t xml:space="preserve">Compulsory Schooling by </w:t>
      </w:r>
    </w:p>
    <w:p w14:paraId="7D8C4781" w14:textId="77777777" w:rsidR="00482F91" w:rsidRPr="00015EA4" w:rsidRDefault="00482F91" w:rsidP="00482F91">
      <w:pPr>
        <w:pStyle w:val="Title"/>
        <w:rPr>
          <w:b/>
          <w:bCs/>
        </w:rPr>
      </w:pPr>
      <w:r w:rsidRPr="00015EA4">
        <w:rPr>
          <w:b/>
          <w:bCs/>
        </w:rPr>
        <w:t xml:space="preserve">Linking Welfare Payments to School Attendance: </w:t>
      </w:r>
    </w:p>
    <w:p w14:paraId="09A00E16" w14:textId="77777777" w:rsidR="00482F91" w:rsidRDefault="00482F91" w:rsidP="00482F91">
      <w:pPr>
        <w:pStyle w:val="Title"/>
        <w:rPr>
          <w:b/>
          <w:bCs/>
        </w:rPr>
      </w:pPr>
      <w:r w:rsidRPr="00015EA4">
        <w:rPr>
          <w:b/>
          <w:bCs/>
        </w:rPr>
        <w:t>Lessons from Australia’s Northern Territory</w:t>
      </w:r>
    </w:p>
    <w:p w14:paraId="408017A9" w14:textId="52804E28" w:rsidR="003A7E25" w:rsidRPr="00014DFA" w:rsidRDefault="003A7E25" w:rsidP="003A7E25">
      <w:pPr>
        <w:pStyle w:val="Title"/>
      </w:pPr>
    </w:p>
    <w:p w14:paraId="0D188E75" w14:textId="5F054C7F" w:rsidR="003A7E25" w:rsidRPr="00723FDC" w:rsidRDefault="003A7E25" w:rsidP="003A7E25">
      <w:pPr>
        <w:pStyle w:val="Author"/>
        <w:rPr>
          <w:smallCaps w:val="0"/>
        </w:rPr>
      </w:pPr>
      <w:r w:rsidRPr="00723FDC">
        <w:rPr>
          <w:b/>
          <w:bCs/>
          <w:smallCaps w:val="0"/>
        </w:rPr>
        <w:t xml:space="preserve">Moshe </w:t>
      </w:r>
      <w:proofErr w:type="spellStart"/>
      <w:proofErr w:type="gramStart"/>
      <w:r w:rsidRPr="00723FDC">
        <w:rPr>
          <w:b/>
          <w:bCs/>
          <w:smallCaps w:val="0"/>
        </w:rPr>
        <w:t>Justman</w:t>
      </w:r>
      <w:proofErr w:type="spellEnd"/>
      <w:r w:rsidRPr="00723FDC">
        <w:rPr>
          <w:smallCaps w:val="0"/>
        </w:rPr>
        <w:t xml:space="preserve">  and</w:t>
      </w:r>
      <w:proofErr w:type="gramEnd"/>
      <w:r w:rsidRPr="00723FDC">
        <w:rPr>
          <w:smallCaps w:val="0"/>
        </w:rPr>
        <w:t xml:space="preserve">   </w:t>
      </w:r>
      <w:r w:rsidRPr="00723FDC">
        <w:rPr>
          <w:b/>
          <w:bCs/>
          <w:smallCaps w:val="0"/>
        </w:rPr>
        <w:t>Kyle Peyton</w:t>
      </w:r>
    </w:p>
    <w:p w14:paraId="4C4424E8" w14:textId="34DEA279" w:rsidR="003A7E25" w:rsidRDefault="003A7E25" w:rsidP="003A7E25">
      <w:pPr>
        <w:pStyle w:val="Contact"/>
        <w:spacing w:after="0" w:line="240" w:lineRule="auto"/>
        <w:jc w:val="both"/>
        <w:rPr>
          <w:sz w:val="24"/>
          <w:szCs w:val="24"/>
        </w:rPr>
      </w:pPr>
      <w:proofErr w:type="spellStart"/>
      <w:r w:rsidRPr="00B33459">
        <w:rPr>
          <w:sz w:val="24"/>
          <w:szCs w:val="24"/>
        </w:rPr>
        <w:t>Justman</w:t>
      </w:r>
      <w:proofErr w:type="spellEnd"/>
      <w:r w:rsidRPr="00B33459">
        <w:rPr>
          <w:sz w:val="24"/>
          <w:szCs w:val="24"/>
        </w:rPr>
        <w:t xml:space="preserve"> (corresponding author):</w:t>
      </w:r>
      <w:r>
        <w:rPr>
          <w:sz w:val="24"/>
          <w:szCs w:val="24"/>
        </w:rPr>
        <w:t xml:space="preserve"> </w:t>
      </w:r>
      <w:r w:rsidRPr="00723FDC">
        <w:rPr>
          <w:sz w:val="24"/>
          <w:szCs w:val="24"/>
        </w:rPr>
        <w:t xml:space="preserve">Department of Economics, Ben </w:t>
      </w:r>
      <w:proofErr w:type="spellStart"/>
      <w:r w:rsidRPr="00723FDC">
        <w:rPr>
          <w:sz w:val="24"/>
          <w:szCs w:val="24"/>
        </w:rPr>
        <w:t>Gurion</w:t>
      </w:r>
      <w:proofErr w:type="spellEnd"/>
      <w:r w:rsidRPr="00723FDC">
        <w:rPr>
          <w:sz w:val="24"/>
          <w:szCs w:val="24"/>
        </w:rPr>
        <w:t xml:space="preserve"> University of the Negev</w:t>
      </w:r>
      <w:r>
        <w:rPr>
          <w:sz w:val="24"/>
          <w:szCs w:val="24"/>
        </w:rPr>
        <w:t>;</w:t>
      </w:r>
      <w:r w:rsidRPr="00723FDC">
        <w:rPr>
          <w:sz w:val="24"/>
          <w:szCs w:val="24"/>
        </w:rPr>
        <w:t xml:space="preserve"> </w:t>
      </w:r>
      <w:r>
        <w:rPr>
          <w:sz w:val="24"/>
          <w:szCs w:val="24"/>
        </w:rPr>
        <w:t xml:space="preserve">and </w:t>
      </w:r>
      <w:r w:rsidRPr="00723FDC">
        <w:rPr>
          <w:sz w:val="24"/>
          <w:szCs w:val="24"/>
        </w:rPr>
        <w:t>Melbourne Institute of Applied Economic and Social Research, University of Melbourne</w:t>
      </w:r>
      <w:r>
        <w:rPr>
          <w:sz w:val="24"/>
          <w:szCs w:val="24"/>
        </w:rPr>
        <w:t xml:space="preserve">. </w:t>
      </w:r>
      <w:hyperlink r:id="rId9" w:history="1">
        <w:r w:rsidRPr="00DC5650">
          <w:rPr>
            <w:rStyle w:val="Hyperlink"/>
            <w:sz w:val="24"/>
            <w:szCs w:val="24"/>
          </w:rPr>
          <w:t>justman@bgu.ac.il</w:t>
        </w:r>
      </w:hyperlink>
      <w:r>
        <w:rPr>
          <w:sz w:val="24"/>
          <w:szCs w:val="24"/>
        </w:rPr>
        <w:t>;</w:t>
      </w:r>
    </w:p>
    <w:p w14:paraId="26DE114C" w14:textId="77777777" w:rsidR="003A7E25" w:rsidRPr="003A7E25" w:rsidRDefault="003A7E25" w:rsidP="003A7E25"/>
    <w:p w14:paraId="1BD19650" w14:textId="48DA1589" w:rsidR="003A7E25" w:rsidRPr="00B33459" w:rsidRDefault="003A7E25" w:rsidP="003A7E25">
      <w:r>
        <w:rPr>
          <w:bCs/>
        </w:rPr>
        <w:t xml:space="preserve">Peyton: </w:t>
      </w:r>
      <w:r w:rsidRPr="00723FDC">
        <w:rPr>
          <w:bCs/>
        </w:rPr>
        <w:t>Department of Political Science, Yale University</w:t>
      </w:r>
      <w:r>
        <w:rPr>
          <w:bCs/>
        </w:rPr>
        <w:t>;</w:t>
      </w:r>
      <w:r>
        <w:t xml:space="preserve"> and </w:t>
      </w:r>
      <w:r w:rsidRPr="00723FDC">
        <w:t>Melbourne Institute of Applied Economic and Social Research</w:t>
      </w:r>
      <w:r>
        <w:t xml:space="preserve">, University of Melbourne. </w:t>
      </w:r>
      <w:hyperlink r:id="rId10" w:tgtFrame="_blank" w:history="1">
        <w:r w:rsidRPr="00B33459">
          <w:rPr>
            <w:rStyle w:val="Hyperlink"/>
            <w:bCs/>
          </w:rPr>
          <w:t>kyle.peyton@yale.edu</w:t>
        </w:r>
      </w:hyperlink>
      <w:r w:rsidRPr="00B33459">
        <w:rPr>
          <w:bCs/>
        </w:rPr>
        <w:t xml:space="preserve">. </w:t>
      </w:r>
    </w:p>
    <w:p w14:paraId="405B392D" w14:textId="77777777" w:rsidR="003A7E25" w:rsidRPr="003A7E25" w:rsidRDefault="003A7E25" w:rsidP="003A7E25">
      <w:pPr>
        <w:pStyle w:val="Author"/>
      </w:pPr>
    </w:p>
    <w:p w14:paraId="5C491CF6" w14:textId="6D868BA8" w:rsidR="00482F91" w:rsidRDefault="00482F91" w:rsidP="00482F91">
      <w:pPr>
        <w:pStyle w:val="Author"/>
      </w:pPr>
      <w:r w:rsidRPr="003A7E25">
        <w:rPr>
          <w:sz w:val="28"/>
          <w:szCs w:val="24"/>
        </w:rPr>
        <w:t>Abstract</w:t>
      </w:r>
    </w:p>
    <w:p w14:paraId="654E7DF7" w14:textId="139E0937" w:rsidR="00482F91" w:rsidRDefault="00482F91" w:rsidP="003A7E25">
      <w:pPr>
        <w:spacing w:line="360" w:lineRule="auto"/>
        <w:jc w:val="both"/>
      </w:pPr>
      <w:r w:rsidRPr="00DE2C44">
        <w:t>Australia's School Enrolment and Attendance through Welfare Reform Measure (SEAM)</w:t>
      </w:r>
      <w:r w:rsidR="003A7E25">
        <w:t xml:space="preserve">, enacted against the backdrop of the Northern Territory Emergency Response, </w:t>
      </w:r>
      <w:proofErr w:type="gramStart"/>
      <w:r>
        <w:t>threatened</w:t>
      </w:r>
      <w:proofErr w:type="gramEnd"/>
      <w:r>
        <w:t xml:space="preserve"> to withhold welfare payments from Indigenous families </w:t>
      </w:r>
      <w:r w:rsidR="003A7E25">
        <w:t>with truant children</w:t>
      </w:r>
      <w:r w:rsidR="003A7E25">
        <w:rPr>
          <w:lang w:bidi="he-IL"/>
        </w:rPr>
        <w:t xml:space="preserve">. </w:t>
      </w:r>
      <w:r>
        <w:t>We show, using a difference-in-difference analysis, that th</w:t>
      </w:r>
      <w:r w:rsidR="003A7E25">
        <w:t>is threat h</w:t>
      </w:r>
      <w:r w:rsidRPr="00DE2C44">
        <w:t>ad a substantial, immediate impact on participation rates in standardized tests. However, as administrators rarely withheld welfare payments from truant families the credibility of the threat was undermined and most of the initial improvement in participation dissipated</w:t>
      </w:r>
      <w:r w:rsidRPr="00DE2C44">
        <w:rPr>
          <w:rFonts w:cs="Arial"/>
          <w:rtl/>
        </w:rPr>
        <w:t>.</w:t>
      </w:r>
      <w:r>
        <w:rPr>
          <w:rFonts w:cs="Arial"/>
        </w:rPr>
        <w:t xml:space="preserve"> This demonstrates the limitations of </w:t>
      </w:r>
      <w:r w:rsidR="003A7E25">
        <w:rPr>
          <w:rFonts w:cs="Arial"/>
        </w:rPr>
        <w:t xml:space="preserve">using </w:t>
      </w:r>
      <w:r>
        <w:rPr>
          <w:rFonts w:cs="Arial"/>
        </w:rPr>
        <w:t xml:space="preserve">financial measures to </w:t>
      </w:r>
      <w:r w:rsidRPr="00DE2C44">
        <w:t>enforc</w:t>
      </w:r>
      <w:r>
        <w:t>e</w:t>
      </w:r>
      <w:r w:rsidRPr="00DE2C44">
        <w:t xml:space="preserve"> compulsory schooling </w:t>
      </w:r>
      <w:r>
        <w:t>among severely disadvantaged populations</w:t>
      </w:r>
      <w:r w:rsidR="003A7E25">
        <w:t>,</w:t>
      </w:r>
      <w:r>
        <w:t xml:space="preserve"> even in extreme circumstances. </w:t>
      </w:r>
    </w:p>
    <w:p w14:paraId="4D12CCFA" w14:textId="77777777" w:rsidR="00482F91" w:rsidRDefault="00482F91">
      <w:pPr>
        <w:rPr>
          <w:rFonts w:ascii="Arial" w:eastAsia="Times New Roman" w:hAnsi="Arial"/>
          <w:b/>
          <w:bCs/>
          <w:color w:val="000000"/>
          <w:kern w:val="28"/>
          <w:sz w:val="28"/>
          <w:szCs w:val="52"/>
        </w:rPr>
      </w:pPr>
    </w:p>
    <w:p w14:paraId="56E708D9" w14:textId="77777777" w:rsidR="00482F91" w:rsidRDefault="00482F91">
      <w:pPr>
        <w:rPr>
          <w:rFonts w:ascii="Arial" w:eastAsia="Times New Roman" w:hAnsi="Arial"/>
          <w:b/>
          <w:bCs/>
          <w:color w:val="000000"/>
          <w:kern w:val="28"/>
          <w:sz w:val="28"/>
          <w:szCs w:val="52"/>
        </w:rPr>
      </w:pPr>
      <w:r>
        <w:rPr>
          <w:b/>
          <w:bCs/>
        </w:rPr>
        <w:br w:type="page"/>
      </w:r>
    </w:p>
    <w:p w14:paraId="5D7D5293" w14:textId="1FD559E9" w:rsidR="00AD79BA" w:rsidRDefault="00AF23AE" w:rsidP="000B7B7E">
      <w:pPr>
        <w:pStyle w:val="Title"/>
        <w:rPr>
          <w:b/>
          <w:bCs/>
        </w:rPr>
      </w:pPr>
      <w:r w:rsidRPr="00015EA4">
        <w:rPr>
          <w:b/>
          <w:bCs/>
        </w:rPr>
        <w:lastRenderedPageBreak/>
        <w:t>Enforc</w:t>
      </w:r>
      <w:r>
        <w:rPr>
          <w:b/>
          <w:bCs/>
        </w:rPr>
        <w:t xml:space="preserve">ing </w:t>
      </w:r>
      <w:r w:rsidRPr="00015EA4">
        <w:rPr>
          <w:b/>
          <w:bCs/>
        </w:rPr>
        <w:t xml:space="preserve">Compulsory Schooling by </w:t>
      </w:r>
    </w:p>
    <w:p w14:paraId="041AC6F2" w14:textId="42AC31F1" w:rsidR="00AF23AE" w:rsidRPr="00015EA4" w:rsidRDefault="00AF23AE" w:rsidP="00AD79BA">
      <w:pPr>
        <w:pStyle w:val="Title"/>
        <w:rPr>
          <w:b/>
          <w:bCs/>
        </w:rPr>
      </w:pPr>
      <w:r w:rsidRPr="00015EA4">
        <w:rPr>
          <w:b/>
          <w:bCs/>
        </w:rPr>
        <w:t xml:space="preserve">Linking Welfare Payments to School Attendance: </w:t>
      </w:r>
    </w:p>
    <w:p w14:paraId="124ED25C" w14:textId="77777777" w:rsidR="00AF23AE" w:rsidRPr="00014DFA" w:rsidRDefault="00AF23AE" w:rsidP="00AF23AE">
      <w:pPr>
        <w:pStyle w:val="Title"/>
      </w:pPr>
      <w:r w:rsidRPr="00015EA4">
        <w:rPr>
          <w:b/>
          <w:bCs/>
        </w:rPr>
        <w:t>Lessons from Australia’s Northern Territory</w:t>
      </w:r>
    </w:p>
    <w:p w14:paraId="2C379B7C" w14:textId="3B33ACD0" w:rsidR="00520C49" w:rsidRPr="00014DFA" w:rsidRDefault="00232645" w:rsidP="00E97EBD">
      <w:pPr>
        <w:pStyle w:val="Heading1"/>
      </w:pPr>
      <w:r>
        <w:t>1</w:t>
      </w:r>
      <w:r w:rsidR="00520C49" w:rsidRPr="00014DFA">
        <w:t xml:space="preserve">. </w:t>
      </w:r>
      <w:r w:rsidR="00886E83" w:rsidRPr="00886E83">
        <w:t>Introduction</w:t>
      </w:r>
    </w:p>
    <w:p w14:paraId="6C54B9EA" w14:textId="0BA946A0" w:rsidR="00886E83" w:rsidRPr="00886E83" w:rsidRDefault="009B7294" w:rsidP="00EC5BC4">
      <w:pPr>
        <w:spacing w:after="120" w:line="360" w:lineRule="auto"/>
        <w:ind w:firstLine="204"/>
        <w:jc w:val="both"/>
      </w:pPr>
      <w:r>
        <w:t xml:space="preserve">Regular </w:t>
      </w:r>
      <w:r w:rsidR="0065536D" w:rsidRPr="00886E83">
        <w:t xml:space="preserve">school </w:t>
      </w:r>
      <w:r>
        <w:t>attendance</w:t>
      </w:r>
      <w:r w:rsidR="0065536D" w:rsidRPr="00886E83">
        <w:t xml:space="preserve"> is a key element in breaking the intergenerational chain of poverty, yet </w:t>
      </w:r>
      <w:r>
        <w:t xml:space="preserve">children growing up in deprived </w:t>
      </w:r>
      <w:r w:rsidR="00267DB1">
        <w:t>circumstanc</w:t>
      </w:r>
      <w:r w:rsidR="0065536D">
        <w:t xml:space="preserve">es are </w:t>
      </w:r>
      <w:r w:rsidR="004E1D1F">
        <w:t xml:space="preserve">those </w:t>
      </w:r>
      <w:r w:rsidR="00267DB1">
        <w:t xml:space="preserve">most </w:t>
      </w:r>
      <w:r>
        <w:t xml:space="preserve">likely to be </w:t>
      </w:r>
      <w:r w:rsidR="0065536D">
        <w:t xml:space="preserve">absent from school. </w:t>
      </w:r>
      <w:r w:rsidR="00267DB1">
        <w:t xml:space="preserve">Some </w:t>
      </w:r>
      <w:r w:rsidR="0065536D">
        <w:t>developing countries</w:t>
      </w:r>
      <w:r w:rsidR="00267DB1">
        <w:t xml:space="preserve"> have </w:t>
      </w:r>
      <w:r>
        <w:t>addressed this issue by offering</w:t>
      </w:r>
      <w:r w:rsidR="00267DB1">
        <w:t xml:space="preserve"> </w:t>
      </w:r>
      <w:r w:rsidR="0065536D">
        <w:t xml:space="preserve">conditional cash transfers </w:t>
      </w:r>
      <w:r w:rsidR="00024696">
        <w:t xml:space="preserve">(CCTs) </w:t>
      </w:r>
      <w:r w:rsidR="00267DB1">
        <w:t xml:space="preserve">to </w:t>
      </w:r>
      <w:r>
        <w:t xml:space="preserve">low-income </w:t>
      </w:r>
      <w:r w:rsidR="0065536D">
        <w:t>parents</w:t>
      </w:r>
      <w:r>
        <w:t xml:space="preserve"> as an inducement</w:t>
      </w:r>
      <w:r w:rsidR="0065536D">
        <w:t xml:space="preserve"> </w:t>
      </w:r>
      <w:r w:rsidR="00267DB1">
        <w:t>to</w:t>
      </w:r>
      <w:r w:rsidR="0065536D">
        <w:t xml:space="preserve"> </w:t>
      </w:r>
      <w:r w:rsidR="00024696">
        <w:t xml:space="preserve">send </w:t>
      </w:r>
      <w:r w:rsidR="0065536D">
        <w:t xml:space="preserve">their children </w:t>
      </w:r>
      <w:r w:rsidR="00024696">
        <w:t>to</w:t>
      </w:r>
      <w:r w:rsidR="0065536D">
        <w:t xml:space="preserve"> school regularly</w:t>
      </w:r>
      <w:r w:rsidR="0027159A">
        <w:t xml:space="preserve"> (Rawlings and Rubio, 2005)</w:t>
      </w:r>
      <w:r w:rsidR="006B3FB4">
        <w:t xml:space="preserve"> but </w:t>
      </w:r>
      <w:r w:rsidR="00793945">
        <w:t>there is little scope for such</w:t>
      </w:r>
      <w:r w:rsidR="00267DB1">
        <w:t xml:space="preserve"> </w:t>
      </w:r>
      <w:r w:rsidR="00024696" w:rsidRPr="00886E83">
        <w:t>intervention</w:t>
      </w:r>
      <w:r w:rsidR="00793945">
        <w:t>s</w:t>
      </w:r>
      <w:r w:rsidR="00024696" w:rsidRPr="00886E83">
        <w:t xml:space="preserve"> </w:t>
      </w:r>
      <w:r w:rsidR="00ED3CE8">
        <w:t xml:space="preserve">in </w:t>
      </w:r>
      <w:r w:rsidR="009E328F">
        <w:t>democracies</w:t>
      </w:r>
      <w:r w:rsidR="009E328F" w:rsidRPr="00886E83">
        <w:t xml:space="preserve"> </w:t>
      </w:r>
      <w:r w:rsidR="00ED3CE8">
        <w:t>with</w:t>
      </w:r>
      <w:r w:rsidR="00886E83" w:rsidRPr="00886E83">
        <w:t xml:space="preserve"> compulsory schooling laws</w:t>
      </w:r>
      <w:r w:rsidR="006B3FB4">
        <w:t>. O</w:t>
      </w:r>
      <w:r w:rsidR="00ED3CE8" w:rsidRPr="00886E83">
        <w:t xml:space="preserve">ffering parents </w:t>
      </w:r>
      <w:r w:rsidR="00ED3CE8">
        <w:t>money for complying with the</w:t>
      </w:r>
      <w:r w:rsidR="00024696">
        <w:t xml:space="preserve"> </w:t>
      </w:r>
      <w:r w:rsidR="00ED3CE8">
        <w:t>law</w:t>
      </w:r>
      <w:r w:rsidR="006B3FB4">
        <w:t xml:space="preserve">, </w:t>
      </w:r>
      <w:r>
        <w:t xml:space="preserve">though </w:t>
      </w:r>
      <w:r w:rsidR="00ED3CE8" w:rsidRPr="00886E83">
        <w:t>potentially effective</w:t>
      </w:r>
      <w:r w:rsidR="006B3FB4">
        <w:t xml:space="preserve">, </w:t>
      </w:r>
      <w:r w:rsidR="00ED3CE8">
        <w:t>is</w:t>
      </w:r>
      <w:r w:rsidR="00ED3CE8" w:rsidRPr="00886E83">
        <w:t xml:space="preserve"> inherently unpopular when funded from tax revenues</w:t>
      </w:r>
      <w:r w:rsidR="006B3FB4">
        <w:t>—</w:t>
      </w:r>
      <w:r w:rsidR="00ED3CE8" w:rsidRPr="00886E83">
        <w:t>and too expensive to fund routinely from private sources.</w:t>
      </w:r>
      <w:r w:rsidR="00ED3CE8" w:rsidRPr="00886E83">
        <w:rPr>
          <w:vertAlign w:val="superscript"/>
        </w:rPr>
        <w:footnoteReference w:id="1"/>
      </w:r>
      <w:r w:rsidR="00ED3CE8">
        <w:t xml:space="preserve"> </w:t>
      </w:r>
    </w:p>
    <w:p w14:paraId="096D25FF" w14:textId="08A6B6C1" w:rsidR="00793945" w:rsidRDefault="009B7294" w:rsidP="00EC5BC4">
      <w:pPr>
        <w:spacing w:after="120" w:line="360" w:lineRule="auto"/>
        <w:ind w:firstLine="204"/>
        <w:jc w:val="both"/>
      </w:pPr>
      <w:r>
        <w:t xml:space="preserve">This has led some jurisdictions in the United States to experiment with the </w:t>
      </w:r>
      <w:r w:rsidR="00886E83" w:rsidRPr="00886E83">
        <w:t>alternative approach</w:t>
      </w:r>
      <w:r w:rsidR="006C78E9">
        <w:t xml:space="preserve"> </w:t>
      </w:r>
      <w:r>
        <w:t xml:space="preserve">of </w:t>
      </w:r>
      <w:r w:rsidR="00793945">
        <w:t>“</w:t>
      </w:r>
      <w:r>
        <w:t>negative CCTs</w:t>
      </w:r>
      <w:r w:rsidR="00793945">
        <w:t>”:</w:t>
      </w:r>
      <w:r>
        <w:t xml:space="preserve"> addressing </w:t>
      </w:r>
      <w:r w:rsidR="00C65C72">
        <w:t xml:space="preserve">truancy </w:t>
      </w:r>
      <w:r w:rsidR="006C78E9">
        <w:t>among</w:t>
      </w:r>
      <w:r w:rsidR="00C65C72">
        <w:t xml:space="preserve"> families </w:t>
      </w:r>
      <w:r w:rsidR="006C78E9">
        <w:t>on</w:t>
      </w:r>
      <w:r w:rsidR="00C65C72">
        <w:t xml:space="preserve"> welfare</w:t>
      </w:r>
      <w:r>
        <w:t xml:space="preserve"> by</w:t>
      </w:r>
      <w:r w:rsidR="00C65C72">
        <w:t xml:space="preserve"> conditioning </w:t>
      </w:r>
      <w:r w:rsidR="00146EE6">
        <w:t>continued</w:t>
      </w:r>
      <w:r w:rsidR="00214977">
        <w:t xml:space="preserve"> support</w:t>
      </w:r>
      <w:r w:rsidR="00886E83" w:rsidRPr="00886E83">
        <w:t xml:space="preserve"> </w:t>
      </w:r>
      <w:r w:rsidR="00C65C72">
        <w:t>on</w:t>
      </w:r>
      <w:r w:rsidR="00886E83" w:rsidRPr="00886E83">
        <w:t xml:space="preserve"> </w:t>
      </w:r>
      <w:r w:rsidR="00ED3CE8">
        <w:t xml:space="preserve">improved </w:t>
      </w:r>
      <w:r w:rsidR="00886E83" w:rsidRPr="00886E83">
        <w:t>school attendance</w:t>
      </w:r>
      <w:r w:rsidR="00793945">
        <w:t xml:space="preserve">. </w:t>
      </w:r>
      <w:r w:rsidR="008440F4">
        <w:t>Actually w</w:t>
      </w:r>
      <w:r w:rsidR="00C65C72">
        <w:t xml:space="preserve">ithholding welfare payments from </w:t>
      </w:r>
      <w:r w:rsidR="005175AC">
        <w:t>the</w:t>
      </w:r>
      <w:r w:rsidR="00793945">
        <w:t>se</w:t>
      </w:r>
      <w:r w:rsidR="005175AC">
        <w:t xml:space="preserve"> </w:t>
      </w:r>
      <w:r w:rsidR="00C65C72">
        <w:t xml:space="preserve">truly needy </w:t>
      </w:r>
      <w:proofErr w:type="gramStart"/>
      <w:r w:rsidR="00793945">
        <w:t>families</w:t>
      </w:r>
      <w:proofErr w:type="gramEnd"/>
      <w:r w:rsidR="00793945">
        <w:t xml:space="preserve"> </w:t>
      </w:r>
      <w:r w:rsidR="008440F4">
        <w:t xml:space="preserve">raises difficulties, as it is </w:t>
      </w:r>
      <w:r w:rsidR="00ED3CE8">
        <w:t xml:space="preserve">likely to cause </w:t>
      </w:r>
      <w:r w:rsidR="00C65C72">
        <w:t>further harm</w:t>
      </w:r>
      <w:r w:rsidR="00ED3CE8">
        <w:t xml:space="preserve"> to</w:t>
      </w:r>
      <w:r w:rsidR="00C65C72">
        <w:t xml:space="preserve"> the</w:t>
      </w:r>
      <w:r w:rsidR="00214977">
        <w:t>ir</w:t>
      </w:r>
      <w:r w:rsidR="00C65C72">
        <w:t xml:space="preserve"> children</w:t>
      </w:r>
      <w:r w:rsidR="008440F4">
        <w:t>, and s</w:t>
      </w:r>
      <w:r w:rsidR="00146EE6">
        <w:t>uch</w:t>
      </w:r>
      <w:r w:rsidR="00C65C72">
        <w:t xml:space="preserve"> policies implicit</w:t>
      </w:r>
      <w:r w:rsidR="00793945">
        <w:t>ly</w:t>
      </w:r>
      <w:r w:rsidR="00886E83" w:rsidRPr="00886E83">
        <w:t xml:space="preserve"> assum</w:t>
      </w:r>
      <w:r w:rsidR="00793945">
        <w:t>e</w:t>
      </w:r>
      <w:r w:rsidR="006C78E9">
        <w:t xml:space="preserve"> </w:t>
      </w:r>
      <w:r w:rsidR="00886E83" w:rsidRPr="00886E83">
        <w:t>that the threat of withholding payments will be sufficient to deter truancy</w:t>
      </w:r>
      <w:r w:rsidR="007C0B2F">
        <w:t xml:space="preserve"> and need not be carried out</w:t>
      </w:r>
      <w:r w:rsidR="008440F4">
        <w:t>. Yet</w:t>
      </w:r>
      <w:r w:rsidR="00ED3CE8">
        <w:t xml:space="preserve"> if </w:t>
      </w:r>
      <w:r w:rsidR="00ED3CE8" w:rsidRPr="00886E83">
        <w:t>targeted families realiz</w:t>
      </w:r>
      <w:r w:rsidR="00ED3CE8">
        <w:t>e</w:t>
      </w:r>
      <w:r w:rsidR="00ED3CE8" w:rsidRPr="00886E83">
        <w:t xml:space="preserve"> </w:t>
      </w:r>
      <w:r w:rsidR="00ED3CE8">
        <w:t xml:space="preserve">that </w:t>
      </w:r>
      <w:r w:rsidR="00ED3CE8" w:rsidRPr="00886E83">
        <w:t xml:space="preserve">welfare administrators </w:t>
      </w:r>
      <w:r w:rsidR="00ED3CE8">
        <w:t>will resist following through</w:t>
      </w:r>
      <w:r w:rsidR="00793945">
        <w:t>,</w:t>
      </w:r>
      <w:r w:rsidR="006C78E9">
        <w:t xml:space="preserve"> </w:t>
      </w:r>
      <w:r w:rsidR="00ED3CE8">
        <w:t>they will respond accordingly</w:t>
      </w:r>
      <w:r w:rsidR="00146EE6">
        <w:t xml:space="preserve"> and ignore the threat</w:t>
      </w:r>
      <w:r w:rsidR="00ED3CE8">
        <w:t xml:space="preserve">. </w:t>
      </w:r>
      <w:r w:rsidR="00024696">
        <w:t xml:space="preserve">A review </w:t>
      </w:r>
      <w:r w:rsidR="00C65C72">
        <w:t xml:space="preserve">of </w:t>
      </w:r>
      <w:r w:rsidR="00886E83" w:rsidRPr="00886E83">
        <w:t>such programs</w:t>
      </w:r>
      <w:r w:rsidR="00C65C72">
        <w:t xml:space="preserve"> by</w:t>
      </w:r>
      <w:r w:rsidR="00886E83" w:rsidRPr="00886E83">
        <w:t xml:space="preserve"> Campbell and Wright (2005)</w:t>
      </w:r>
      <w:r w:rsidR="00793945">
        <w:t xml:space="preserve"> found that</w:t>
      </w:r>
      <w:r w:rsidR="00B21C2E">
        <w:t xml:space="preserve"> </w:t>
      </w:r>
      <w:r w:rsidR="00886E83" w:rsidRPr="00886E83">
        <w:t xml:space="preserve">caseworkers </w:t>
      </w:r>
      <w:r w:rsidR="00B21C2E">
        <w:t xml:space="preserve">often found </w:t>
      </w:r>
      <w:r w:rsidR="00886E83" w:rsidRPr="00886E83">
        <w:t>valid reasons for parents’ non-compliance</w:t>
      </w:r>
      <w:r w:rsidR="006B3FB4">
        <w:t>;</w:t>
      </w:r>
      <w:r w:rsidR="00886E83" w:rsidRPr="00886E83">
        <w:t xml:space="preserve"> </w:t>
      </w:r>
      <w:r w:rsidR="00B21C2E">
        <w:t xml:space="preserve">and </w:t>
      </w:r>
      <w:r w:rsidR="00886E83" w:rsidRPr="00886E83">
        <w:t>in other</w:t>
      </w:r>
      <w:r w:rsidR="00B21C2E">
        <w:t xml:space="preserve"> case</w:t>
      </w:r>
      <w:r w:rsidR="00886E83" w:rsidRPr="00886E83">
        <w:t xml:space="preserve">s, targeted families were unaware of the </w:t>
      </w:r>
      <w:r w:rsidR="00214977">
        <w:t>risk of losing their</w:t>
      </w:r>
      <w:r w:rsidR="00886E83" w:rsidRPr="00886E83">
        <w:t xml:space="preserve"> welfare </w:t>
      </w:r>
      <w:r w:rsidR="00214977">
        <w:t>support</w:t>
      </w:r>
      <w:r w:rsidR="00886E83" w:rsidRPr="00886E83">
        <w:t xml:space="preserve">. </w:t>
      </w:r>
      <w:r w:rsidR="00B21C2E">
        <w:t>Consequently,</w:t>
      </w:r>
      <w:r w:rsidR="006B3FB4">
        <w:t xml:space="preserve"> they </w:t>
      </w:r>
      <w:r w:rsidR="00B21C2E">
        <w:lastRenderedPageBreak/>
        <w:t>conclude</w:t>
      </w:r>
      <w:r w:rsidR="008440F4">
        <w:t>d</w:t>
      </w:r>
      <w:r w:rsidR="00B21C2E">
        <w:t xml:space="preserve"> </w:t>
      </w:r>
      <w:r w:rsidR="00B21C2E" w:rsidRPr="00886E83">
        <w:t xml:space="preserve">that </w:t>
      </w:r>
      <w:r w:rsidR="00B21C2E">
        <w:t xml:space="preserve">such policies </w:t>
      </w:r>
      <w:r w:rsidR="00793945">
        <w:t xml:space="preserve">do not generally </w:t>
      </w:r>
      <w:r w:rsidR="00B21C2E">
        <w:t xml:space="preserve">succeed in raising </w:t>
      </w:r>
      <w:r w:rsidR="00793945">
        <w:t xml:space="preserve">school </w:t>
      </w:r>
      <w:r w:rsidR="00B21C2E">
        <w:t xml:space="preserve">attendance </w:t>
      </w:r>
      <w:r w:rsidR="00793945">
        <w:t>unless</w:t>
      </w:r>
      <w:r w:rsidR="00B21C2E">
        <w:t xml:space="preserve"> </w:t>
      </w:r>
      <w:r w:rsidR="00B21C2E" w:rsidRPr="00886E83">
        <w:t xml:space="preserve">accompanied by </w:t>
      </w:r>
      <w:r w:rsidR="00B21C2E">
        <w:t xml:space="preserve">an increase in </w:t>
      </w:r>
      <w:r w:rsidR="00B21C2E" w:rsidRPr="00886E83">
        <w:t>case management reso</w:t>
      </w:r>
      <w:r w:rsidR="00B21C2E">
        <w:t>urces</w:t>
      </w:r>
      <w:r w:rsidR="00793945">
        <w:t xml:space="preserve"> that directly address the problems these families face.</w:t>
      </w:r>
    </w:p>
    <w:p w14:paraId="3B574EFA" w14:textId="68010EFF" w:rsidR="00886E83" w:rsidRPr="00886E83" w:rsidRDefault="00886E83" w:rsidP="00EC5BC4">
      <w:pPr>
        <w:spacing w:after="120" w:line="360" w:lineRule="auto"/>
        <w:ind w:firstLine="204"/>
        <w:jc w:val="both"/>
      </w:pPr>
      <w:r w:rsidRPr="00886E83">
        <w:t>This raises the question</w:t>
      </w:r>
      <w:r w:rsidR="00214977">
        <w:t xml:space="preserve">, what would </w:t>
      </w:r>
      <w:r w:rsidR="0080347B">
        <w:t xml:space="preserve">be the effect of a </w:t>
      </w:r>
      <w:r w:rsidR="0080347B" w:rsidRPr="00886E83">
        <w:t>credible threat</w:t>
      </w:r>
      <w:r w:rsidR="0080347B">
        <w:t xml:space="preserve"> to withhold welfare payments</w:t>
      </w:r>
      <w:r w:rsidR="00024696">
        <w:t xml:space="preserve"> on school attendance</w:t>
      </w:r>
      <w:r w:rsidR="00214977">
        <w:t>? T</w:t>
      </w:r>
      <w:r w:rsidR="00B21C2E">
        <w:t xml:space="preserve">he unique experience of </w:t>
      </w:r>
      <w:r w:rsidRPr="00886E83">
        <w:t xml:space="preserve">Australia's School Enrolment and Attendance through Welfare Reform Measure (SEAM) </w:t>
      </w:r>
      <w:r w:rsidR="00214977">
        <w:t xml:space="preserve">sheds light on this </w:t>
      </w:r>
      <w:r w:rsidR="0080347B">
        <w:t>question</w:t>
      </w:r>
      <w:r w:rsidR="00214977">
        <w:t xml:space="preserve">. </w:t>
      </w:r>
      <w:r w:rsidR="006B3FB4">
        <w:t>Initiated in 2009 and t</w:t>
      </w:r>
      <w:r w:rsidR="00146EE6">
        <w:t xml:space="preserve">argeted at </w:t>
      </w:r>
      <w:r w:rsidR="00146EE6" w:rsidRPr="00886E83">
        <w:t xml:space="preserve">Indigenous parents </w:t>
      </w:r>
      <w:r w:rsidR="00146EE6">
        <w:t xml:space="preserve">of truant children </w:t>
      </w:r>
      <w:r w:rsidR="00146EE6" w:rsidRPr="00886E83">
        <w:t>in the Northern Territory</w:t>
      </w:r>
      <w:r w:rsidR="007C0B2F">
        <w:t>,</w:t>
      </w:r>
      <w:r w:rsidR="00146EE6">
        <w:t xml:space="preserve"> its</w:t>
      </w:r>
      <w:r w:rsidR="00214977">
        <w:t xml:space="preserve"> </w:t>
      </w:r>
      <w:r w:rsidR="00214977" w:rsidRPr="00886E83">
        <w:t>threat to withhold welfare payments from</w:t>
      </w:r>
      <w:r w:rsidR="00214977">
        <w:t xml:space="preserve"> these parents </w:t>
      </w:r>
      <w:r w:rsidR="00B21C2E">
        <w:t>if their</w:t>
      </w:r>
      <w:r w:rsidRPr="00886E83">
        <w:t xml:space="preserve"> children failed to meet school attendance requirements was </w:t>
      </w:r>
      <w:r w:rsidR="00776B71">
        <w:t>set</w:t>
      </w:r>
      <w:r w:rsidRPr="00886E83">
        <w:t xml:space="preserve"> agai</w:t>
      </w:r>
      <w:r w:rsidR="00C65C72">
        <w:t xml:space="preserve">nst </w:t>
      </w:r>
      <w:r w:rsidRPr="00886E83">
        <w:t>the backdrop of the Northern Territory Emergency Response (NTER)</w:t>
      </w:r>
      <w:r w:rsidR="00214977">
        <w:t xml:space="preserve">. </w:t>
      </w:r>
      <w:r w:rsidR="00776B71">
        <w:t>This</w:t>
      </w:r>
      <w:r w:rsidR="00214977">
        <w:t xml:space="preserve"> broad </w:t>
      </w:r>
      <w:r w:rsidRPr="00886E83">
        <w:t>intervention</w:t>
      </w:r>
      <w:r w:rsidR="009E328F">
        <w:t xml:space="preserve">, implemented in late 2007 </w:t>
      </w:r>
      <w:r w:rsidR="006B3FB4">
        <w:t xml:space="preserve">and </w:t>
      </w:r>
      <w:r w:rsidR="00776B71">
        <w:t>generally</w:t>
      </w:r>
      <w:r w:rsidRPr="00886E83">
        <w:t xml:space="preserve"> directed at the </w:t>
      </w:r>
      <w:r w:rsidR="00B21C2E">
        <w:t>t</w:t>
      </w:r>
      <w:r w:rsidRPr="00886E83">
        <w:t>erritory's Indigenous population</w:t>
      </w:r>
      <w:r w:rsidR="00776B71">
        <w:t>, came</w:t>
      </w:r>
      <w:r w:rsidRPr="00886E83">
        <w:t xml:space="preserve"> </w:t>
      </w:r>
      <w:r w:rsidR="009E328F">
        <w:t>after a report commissioned</w:t>
      </w:r>
      <w:r w:rsidR="002055C0">
        <w:t xml:space="preserve"> by the Chief Minister of the N</w:t>
      </w:r>
      <w:r w:rsidR="00B44DF1">
        <w:t xml:space="preserve">orthern Territory </w:t>
      </w:r>
      <w:r w:rsidRPr="00886E83">
        <w:t>alleg</w:t>
      </w:r>
      <w:r w:rsidR="002055C0">
        <w:t>ed</w:t>
      </w:r>
      <w:r w:rsidRPr="00886E83">
        <w:t xml:space="preserve"> c</w:t>
      </w:r>
      <w:r w:rsidR="008657CA">
        <w:t xml:space="preserve">hild abuse in </w:t>
      </w:r>
      <w:r w:rsidR="0092764A">
        <w:t>A</w:t>
      </w:r>
      <w:r w:rsidR="002055C0">
        <w:t>boriginal communities</w:t>
      </w:r>
      <w:r w:rsidR="00B44DF1">
        <w:t>,</w:t>
      </w:r>
      <w:r w:rsidR="002055C0">
        <w:t xml:space="preserve"> </w:t>
      </w:r>
      <w:r w:rsidR="00B44DF1">
        <w:t xml:space="preserve">and urged that it </w:t>
      </w:r>
      <w:r w:rsidR="002055C0">
        <w:t>be “designated an issue of urgent national significance” (Wild and Anderson, 2007)</w:t>
      </w:r>
      <w:r w:rsidR="006B3FB4">
        <w:t xml:space="preserve">. </w:t>
      </w:r>
      <w:r w:rsidR="00B44DF1">
        <w:t xml:space="preserve">It </w:t>
      </w:r>
      <w:r w:rsidR="00214977">
        <w:t>i</w:t>
      </w:r>
      <w:r w:rsidRPr="00886E83">
        <w:t>nvolv</w:t>
      </w:r>
      <w:r w:rsidR="008657CA">
        <w:t>ed</w:t>
      </w:r>
      <w:r w:rsidRPr="00886E83">
        <w:t xml:space="preserve"> a military presence</w:t>
      </w:r>
      <w:r w:rsidR="00776B71">
        <w:t xml:space="preserve"> (</w:t>
      </w:r>
      <w:r w:rsidR="00A728E9" w:rsidRPr="00886E83">
        <w:t>“</w:t>
      </w:r>
      <w:r w:rsidRPr="00886E83">
        <w:t>Operation Outreach”</w:t>
      </w:r>
      <w:r w:rsidR="00776B71">
        <w:t>)</w:t>
      </w:r>
      <w:r w:rsidRPr="00886E83">
        <w:t xml:space="preserve"> and temporary suspension of Australia's Racial Discrimination Act (Broome, 2010</w:t>
      </w:r>
      <w:r w:rsidR="006F2831">
        <w:t>, Chapter 14</w:t>
      </w:r>
      <w:r w:rsidRPr="00886E83">
        <w:t xml:space="preserve">).  While formally separate from the NTER, SEAM gained </w:t>
      </w:r>
      <w:r w:rsidR="007C0B2F">
        <w:t xml:space="preserve">its </w:t>
      </w:r>
      <w:r w:rsidRPr="00886E83">
        <w:t xml:space="preserve">credibility from the heightened anxiety </w:t>
      </w:r>
      <w:r w:rsidR="0027159A">
        <w:t xml:space="preserve">and uncertainty </w:t>
      </w:r>
      <w:r w:rsidRPr="00886E83">
        <w:t xml:space="preserve">the NTER generated, </w:t>
      </w:r>
      <w:r w:rsidR="00214977">
        <w:t xml:space="preserve">and from the </w:t>
      </w:r>
      <w:r w:rsidR="0027159A">
        <w:t xml:space="preserve">living </w:t>
      </w:r>
      <w:r w:rsidR="00214977">
        <w:t xml:space="preserve">memory of </w:t>
      </w:r>
      <w:r w:rsidRPr="00886E83">
        <w:t>yet sev</w:t>
      </w:r>
      <w:r w:rsidR="00024696">
        <w:t xml:space="preserve">erer </w:t>
      </w:r>
      <w:r w:rsidRPr="00886E83">
        <w:t>measures</w:t>
      </w:r>
      <w:r w:rsidR="00325FF4">
        <w:t xml:space="preserve"> directed by past Australian governments at </w:t>
      </w:r>
      <w:r w:rsidR="0027159A">
        <w:t xml:space="preserve">Aboriginal </w:t>
      </w:r>
      <w:r w:rsidR="00325FF4">
        <w:t>families.</w:t>
      </w:r>
      <w:r w:rsidRPr="00886E83">
        <w:rPr>
          <w:vertAlign w:val="superscript"/>
        </w:rPr>
        <w:footnoteReference w:id="2"/>
      </w:r>
      <w:r w:rsidRPr="00886E83">
        <w:t xml:space="preserve"> </w:t>
      </w:r>
    </w:p>
    <w:p w14:paraId="1F7D8E29" w14:textId="421147C2" w:rsidR="00886E83" w:rsidRPr="00886E83" w:rsidRDefault="00E7016A" w:rsidP="00EC5BC4">
      <w:pPr>
        <w:spacing w:after="120" w:line="360" w:lineRule="auto"/>
        <w:ind w:firstLine="204"/>
        <w:jc w:val="both"/>
      </w:pPr>
      <w:r>
        <w:t>In the absence of direct data on attendance</w:t>
      </w:r>
      <w:r w:rsidR="007C0B2F">
        <w:t xml:space="preserve"> by Indigenous </w:t>
      </w:r>
      <w:r w:rsidR="0092764A">
        <w:t>students</w:t>
      </w:r>
      <w:r>
        <w:t>, we e</w:t>
      </w:r>
      <w:r w:rsidR="00886E83" w:rsidRPr="00886E83">
        <w:t xml:space="preserve">stimate </w:t>
      </w:r>
      <w:r w:rsidR="00C65C72">
        <w:t>the</w:t>
      </w:r>
      <w:r w:rsidR="00886E83" w:rsidRPr="00886E83">
        <w:t xml:space="preserve"> impact </w:t>
      </w:r>
      <w:r w:rsidR="00C65C72">
        <w:t>of SEAM</w:t>
      </w:r>
      <w:r>
        <w:t xml:space="preserve"> indirectly through its </w:t>
      </w:r>
      <w:r w:rsidR="007C0B2F">
        <w:t>effe</w:t>
      </w:r>
      <w:r>
        <w:t xml:space="preserve">ct on </w:t>
      </w:r>
      <w:r w:rsidR="00776B71">
        <w:t xml:space="preserve">student </w:t>
      </w:r>
      <w:r>
        <w:t xml:space="preserve">participation </w:t>
      </w:r>
      <w:r w:rsidR="00A8236B">
        <w:t>in A</w:t>
      </w:r>
      <w:r w:rsidR="00C65C72">
        <w:t>ustralia’s</w:t>
      </w:r>
      <w:r w:rsidR="00886E83" w:rsidRPr="00886E83">
        <w:t xml:space="preserve"> Natio</w:t>
      </w:r>
      <w:r w:rsidR="007C0B2F">
        <w:t xml:space="preserve">nal Assessment Program—Literacy </w:t>
      </w:r>
      <w:r w:rsidR="00886E83" w:rsidRPr="00886E83">
        <w:t>and Numeracy (NAPLAN)</w:t>
      </w:r>
      <w:r w:rsidR="004E4D47">
        <w:t>.</w:t>
      </w:r>
      <w:r w:rsidR="00613044" w:rsidRPr="00613044">
        <w:rPr>
          <w:rStyle w:val="FootnoteReference"/>
        </w:rPr>
        <w:t xml:space="preserve"> </w:t>
      </w:r>
      <w:r w:rsidR="008657CA">
        <w:t>I</w:t>
      </w:r>
      <w:r w:rsidR="00C65C72">
        <w:t>nitiated in 2008</w:t>
      </w:r>
      <w:r w:rsidR="00A8236B">
        <w:t xml:space="preserve">, </w:t>
      </w:r>
      <w:r w:rsidR="008657CA">
        <w:t xml:space="preserve">a </w:t>
      </w:r>
      <w:r w:rsidR="00C65C72">
        <w:t>year before SEAM</w:t>
      </w:r>
      <w:r w:rsidR="008657CA">
        <w:t>, NAPLAN</w:t>
      </w:r>
      <w:r w:rsidR="00A8236B">
        <w:t xml:space="preserve"> </w:t>
      </w:r>
      <w:r w:rsidR="008657CA">
        <w:lastRenderedPageBreak/>
        <w:t xml:space="preserve">annually </w:t>
      </w:r>
      <w:r w:rsidR="00A8236B">
        <w:t>a</w:t>
      </w:r>
      <w:r w:rsidR="00C65C72">
        <w:t>dminister</w:t>
      </w:r>
      <w:r w:rsidR="00A8236B">
        <w:t xml:space="preserve">s standardized tests in numeracy, reading, spelling, grammar and writing </w:t>
      </w:r>
      <w:r w:rsidR="00C65C72" w:rsidRPr="00886E83">
        <w:t xml:space="preserve">to </w:t>
      </w:r>
      <w:r w:rsidR="00B21C2E">
        <w:t xml:space="preserve">all Australian </w:t>
      </w:r>
      <w:r w:rsidR="00C65C72" w:rsidRPr="00886E83">
        <w:t>students in grades 3, 5, 7 and 9.</w:t>
      </w:r>
      <w:r w:rsidR="00C65C72">
        <w:t xml:space="preserve"> </w:t>
      </w:r>
      <w:r w:rsidR="00613044">
        <w:t xml:space="preserve">We apply </w:t>
      </w:r>
      <w:r w:rsidR="00613044" w:rsidRPr="00886E83">
        <w:t xml:space="preserve">a difference-in-difference analysis </w:t>
      </w:r>
      <w:r w:rsidR="007C0B2F">
        <w:t>to</w:t>
      </w:r>
      <w:r w:rsidR="00613044" w:rsidRPr="00886E83">
        <w:t xml:space="preserve"> </w:t>
      </w:r>
      <w:r w:rsidR="00886E83" w:rsidRPr="00886E83">
        <w:t>participation rates</w:t>
      </w:r>
      <w:r w:rsidR="007C0B2F" w:rsidRPr="007C0B2F">
        <w:t xml:space="preserve"> </w:t>
      </w:r>
      <w:r w:rsidR="007C0B2F">
        <w:t>of Indigenous students in the Northern Territory</w:t>
      </w:r>
      <w:r w:rsidR="00886E83" w:rsidRPr="00886E83">
        <w:t xml:space="preserve"> </w:t>
      </w:r>
      <w:r w:rsidR="006F2831">
        <w:t xml:space="preserve">in </w:t>
      </w:r>
      <w:r w:rsidR="007C0B2F">
        <w:t xml:space="preserve">NAPLAN </w:t>
      </w:r>
      <w:r w:rsidR="00C65C72">
        <w:t xml:space="preserve">numeracy and reading </w:t>
      </w:r>
      <w:r w:rsidR="00886E83" w:rsidRPr="00886E83">
        <w:t>tests</w:t>
      </w:r>
      <w:r w:rsidR="00613044">
        <w:t>,</w:t>
      </w:r>
      <w:r w:rsidR="006B3FB4">
        <w:t xml:space="preserve"> </w:t>
      </w:r>
      <w:r w:rsidR="00613044">
        <w:t xml:space="preserve">comparing their variation over time </w:t>
      </w:r>
      <w:r w:rsidR="00886E83" w:rsidRPr="00886E83">
        <w:t xml:space="preserve">to the variation </w:t>
      </w:r>
      <w:r w:rsidR="006B3FB4">
        <w:t>of participation rates</w:t>
      </w:r>
      <w:r w:rsidR="00886E83" w:rsidRPr="00886E83">
        <w:t xml:space="preserve"> among Indigenous </w:t>
      </w:r>
      <w:r w:rsidR="006F2831">
        <w:t>students</w:t>
      </w:r>
      <w:r w:rsidR="00886E83" w:rsidRPr="00886E83">
        <w:t xml:space="preserve"> </w:t>
      </w:r>
      <w:r w:rsidR="006F2831">
        <w:t>in</w:t>
      </w:r>
      <w:r w:rsidR="00886E83" w:rsidRPr="00886E83">
        <w:t xml:space="preserve"> Australia's other states and territories</w:t>
      </w:r>
      <w:r w:rsidR="00613044">
        <w:t xml:space="preserve">. Specifically, we </w:t>
      </w:r>
      <w:r w:rsidR="0080347B">
        <w:t xml:space="preserve">focus </w:t>
      </w:r>
      <w:r w:rsidR="00886E83" w:rsidRPr="00886E83">
        <w:t>on the difference between 2008, the year before SEAM</w:t>
      </w:r>
      <w:r w:rsidR="00C65C72">
        <w:t xml:space="preserve">, and subsequent years to </w:t>
      </w:r>
      <w:r w:rsidR="00886E83" w:rsidRPr="00886E83">
        <w:t>2012.</w:t>
      </w:r>
      <w:r w:rsidR="00886E83" w:rsidRPr="00886E83">
        <w:rPr>
          <w:vertAlign w:val="superscript"/>
        </w:rPr>
        <w:footnoteReference w:id="3"/>
      </w:r>
      <w:r w:rsidR="003D2F6A">
        <w:t xml:space="preserve"> </w:t>
      </w:r>
    </w:p>
    <w:p w14:paraId="6A250850" w14:textId="1288349B" w:rsidR="008440F4" w:rsidRDefault="00886E83" w:rsidP="00EC5BC4">
      <w:pPr>
        <w:spacing w:after="120" w:line="360" w:lineRule="auto"/>
        <w:ind w:firstLine="204"/>
        <w:jc w:val="both"/>
      </w:pPr>
      <w:r w:rsidRPr="00886E83">
        <w:t xml:space="preserve">Previewing our main results, we find that in 2009, the first year in which SEAM was implemented, test participation increased dramatically among Indigenous children in the Northern Territory, </w:t>
      </w:r>
      <w:r w:rsidR="002F0BFC">
        <w:t xml:space="preserve">rising </w:t>
      </w:r>
      <w:r w:rsidRPr="00886E83">
        <w:t xml:space="preserve">by 16-20 percentage points compared to </w:t>
      </w:r>
      <w:r w:rsidR="00C65C72">
        <w:t xml:space="preserve">2008 </w:t>
      </w:r>
      <w:r w:rsidRPr="00886E83">
        <w:t>pre-SEAM levels</w:t>
      </w:r>
      <w:r w:rsidR="00C65C72">
        <w:t>,</w:t>
      </w:r>
      <w:r w:rsidRPr="00886E83">
        <w:t xml:space="preserve"> where no similar increase </w:t>
      </w:r>
      <w:r w:rsidR="002F0BFC">
        <w:t>appeared</w:t>
      </w:r>
      <w:r w:rsidR="002F0BFC" w:rsidRPr="00886E83">
        <w:t xml:space="preserve"> </w:t>
      </w:r>
      <w:r w:rsidRPr="00886E83">
        <w:t xml:space="preserve">among the Indigenous </w:t>
      </w:r>
      <w:r w:rsidR="006F2831">
        <w:t>student population</w:t>
      </w:r>
      <w:r w:rsidRPr="00886E83">
        <w:t xml:space="preserve"> </w:t>
      </w:r>
      <w:r w:rsidR="006F2831">
        <w:t>in</w:t>
      </w:r>
      <w:r w:rsidRPr="00886E83">
        <w:t xml:space="preserve"> Australia’s other states and territories. </w:t>
      </w:r>
      <w:r w:rsidR="00C65C72">
        <w:t>Moreover</w:t>
      </w:r>
      <w:r w:rsidRPr="00886E83">
        <w:t xml:space="preserve">, this sharp rise in participation rates did not </w:t>
      </w:r>
      <w:r w:rsidR="00776B71">
        <w:t>lead to a decline</w:t>
      </w:r>
      <w:r w:rsidRPr="00886E83">
        <w:t xml:space="preserve"> </w:t>
      </w:r>
      <w:r w:rsidR="00776B71">
        <w:t xml:space="preserve">in </w:t>
      </w:r>
      <w:r w:rsidR="002F0BFC">
        <w:t>pass rates</w:t>
      </w:r>
      <w:r w:rsidR="00022A0A">
        <w:t xml:space="preserve"> for the Indigenous </w:t>
      </w:r>
      <w:r w:rsidR="0092764A">
        <w:t>students in</w:t>
      </w:r>
      <w:r w:rsidR="00022A0A">
        <w:t xml:space="preserve"> the Northern Territory</w:t>
      </w:r>
      <w:r w:rsidR="00F93FDF">
        <w:t xml:space="preserve">, </w:t>
      </w:r>
      <w:r w:rsidR="00426758">
        <w:t xml:space="preserve">suggesting </w:t>
      </w:r>
      <w:r w:rsidR="002F0BFC">
        <w:t>that th</w:t>
      </w:r>
      <w:r w:rsidR="00776B71">
        <w:t>e observed</w:t>
      </w:r>
      <w:r w:rsidR="0074582D">
        <w:t xml:space="preserve"> increase in </w:t>
      </w:r>
      <w:r w:rsidR="0074582D" w:rsidRPr="0074582D">
        <w:t xml:space="preserve">test participation </w:t>
      </w:r>
      <w:r w:rsidR="00776B71">
        <w:t xml:space="preserve">indeed </w:t>
      </w:r>
      <w:r w:rsidR="0074582D">
        <w:t>reflect</w:t>
      </w:r>
      <w:r w:rsidR="00536941">
        <w:t>ed</w:t>
      </w:r>
      <w:r w:rsidR="0074582D">
        <w:t xml:space="preserve"> a</w:t>
      </w:r>
      <w:r w:rsidR="007B6699">
        <w:t>n</w:t>
      </w:r>
      <w:r w:rsidR="0074582D">
        <w:t xml:space="preserve"> increase in </w:t>
      </w:r>
      <w:r w:rsidR="0074582D" w:rsidRPr="0074582D">
        <w:t>school attendance</w:t>
      </w:r>
      <w:r w:rsidR="007B6699">
        <w:t>.</w:t>
      </w:r>
      <w:r w:rsidR="00776B71">
        <w:rPr>
          <w:rStyle w:val="FootnoteReference"/>
        </w:rPr>
        <w:footnoteReference w:id="4"/>
      </w:r>
      <w:r w:rsidR="00D06289">
        <w:t xml:space="preserve"> </w:t>
      </w:r>
    </w:p>
    <w:p w14:paraId="591766F9" w14:textId="77777777" w:rsidR="005636B7" w:rsidRDefault="002F0BFC" w:rsidP="00EC5BC4">
      <w:pPr>
        <w:spacing w:after="120" w:line="360" w:lineRule="auto"/>
        <w:ind w:firstLine="204"/>
        <w:jc w:val="both"/>
      </w:pPr>
      <w:r>
        <w:t>We interpret th</w:t>
      </w:r>
      <w:r w:rsidR="007B6699">
        <w:t xml:space="preserve">ese findings </w:t>
      </w:r>
      <w:r>
        <w:t xml:space="preserve">as </w:t>
      </w:r>
      <w:r w:rsidR="007B6699" w:rsidRPr="00886E83">
        <w:t>demonstrat</w:t>
      </w:r>
      <w:r>
        <w:t>ing how</w:t>
      </w:r>
      <w:r w:rsidR="007B6699" w:rsidRPr="00886E83">
        <w:t xml:space="preserve"> a credible threat to link welfare payments to school attendance can substantially raise participation rates</w:t>
      </w:r>
      <w:r w:rsidR="007B6699">
        <w:t>.</w:t>
      </w:r>
      <w:r w:rsidR="008440F4" w:rsidRPr="008440F4">
        <w:t xml:space="preserve"> </w:t>
      </w:r>
      <w:r w:rsidR="008440F4">
        <w:t>Th</w:t>
      </w:r>
      <w:r w:rsidR="003C73FC">
        <w:t xml:space="preserve">is </w:t>
      </w:r>
      <w:r w:rsidR="008440F4">
        <w:t xml:space="preserve">rests on </w:t>
      </w:r>
      <w:r w:rsidR="006E7286">
        <w:t xml:space="preserve">a </w:t>
      </w:r>
      <w:r w:rsidR="00EC68E7">
        <w:t>“</w:t>
      </w:r>
      <w:r w:rsidR="006E7286">
        <w:t>common trend</w:t>
      </w:r>
      <w:r w:rsidR="00EC68E7">
        <w:t>s”</w:t>
      </w:r>
      <w:r w:rsidR="006E7286">
        <w:t xml:space="preserve"> assumption, </w:t>
      </w:r>
      <w:r w:rsidR="003C73FC">
        <w:t>namely</w:t>
      </w:r>
      <w:r w:rsidR="006E7286">
        <w:t xml:space="preserve"> that</w:t>
      </w:r>
      <w:r w:rsidR="008440F4" w:rsidRPr="00230AE6">
        <w:t xml:space="preserve"> </w:t>
      </w:r>
      <w:r w:rsidR="00EC68E7">
        <w:t>change</w:t>
      </w:r>
      <w:r w:rsidR="00426758">
        <w:t>s</w:t>
      </w:r>
      <w:r w:rsidR="00EC68E7" w:rsidRPr="00230AE6">
        <w:t xml:space="preserve"> </w:t>
      </w:r>
      <w:r w:rsidR="008440F4" w:rsidRPr="00230AE6">
        <w:t xml:space="preserve">in Indigenous participation </w:t>
      </w:r>
      <w:r w:rsidR="008440F4">
        <w:t>rates</w:t>
      </w:r>
      <w:r w:rsidR="00EC68E7">
        <w:t xml:space="preserve"> outside</w:t>
      </w:r>
      <w:r w:rsidR="008440F4" w:rsidRPr="00230AE6">
        <w:t xml:space="preserve"> the N</w:t>
      </w:r>
      <w:r w:rsidR="008440F4">
        <w:t xml:space="preserve">orthern Territory </w:t>
      </w:r>
      <w:r w:rsidR="005636B7">
        <w:t>ar</w:t>
      </w:r>
      <w:r w:rsidR="00426758">
        <w:t>e</w:t>
      </w:r>
      <w:r w:rsidR="00EC68E7">
        <w:t xml:space="preserve"> as a good approximation for the </w:t>
      </w:r>
      <w:r w:rsidR="00426758">
        <w:t>(</w:t>
      </w:r>
      <w:r w:rsidR="00EC68E7">
        <w:t>unobservable</w:t>
      </w:r>
      <w:r w:rsidR="00426758">
        <w:t>)</w:t>
      </w:r>
      <w:r w:rsidR="00EC68E7">
        <w:t xml:space="preserve"> </w:t>
      </w:r>
      <w:r w:rsidR="00426758">
        <w:t xml:space="preserve">counterfactual </w:t>
      </w:r>
      <w:r w:rsidR="00EC68E7">
        <w:t>change</w:t>
      </w:r>
      <w:r w:rsidR="00426758">
        <w:t>s</w:t>
      </w:r>
      <w:r w:rsidR="00EC68E7">
        <w:t xml:space="preserve"> in the </w:t>
      </w:r>
      <w:r w:rsidR="00777C4B">
        <w:t>NT</w:t>
      </w:r>
      <w:r w:rsidR="00EC68E7">
        <w:t xml:space="preserve"> had there in fact been no such threat. </w:t>
      </w:r>
      <w:r w:rsidR="00426758">
        <w:t>Equality of pre-</w:t>
      </w:r>
      <w:r w:rsidR="00EC68E7">
        <w:t xml:space="preserve">2009 trends </w:t>
      </w:r>
      <w:r w:rsidR="00777C4B">
        <w:t xml:space="preserve">in participation rates </w:t>
      </w:r>
      <w:r w:rsidR="005636B7">
        <w:t xml:space="preserve">between Indigenous students in the Northern Territory and in other parts </w:t>
      </w:r>
      <w:r w:rsidR="005636B7">
        <w:lastRenderedPageBreak/>
        <w:t xml:space="preserve">of Australia would </w:t>
      </w:r>
      <w:r w:rsidR="00EC68E7">
        <w:t xml:space="preserve">lend </w:t>
      </w:r>
      <w:r w:rsidR="005636B7">
        <w:t>support</w:t>
      </w:r>
      <w:r w:rsidR="00EC68E7">
        <w:t xml:space="preserve"> to </w:t>
      </w:r>
      <w:r w:rsidR="00777C4B">
        <w:t>the common trends</w:t>
      </w:r>
      <w:r w:rsidR="00EC68E7">
        <w:t xml:space="preserve"> assumption</w:t>
      </w:r>
      <w:r w:rsidR="005636B7">
        <w:t>. It would rule out the possibility that the sharp increase in participation in the Northern Territory between 2008 and 2009 was the continuation</w:t>
      </w:r>
      <w:r w:rsidR="006E7286">
        <w:t xml:space="preserve"> of </w:t>
      </w:r>
      <w:r w:rsidR="008440F4" w:rsidRPr="00230AE6">
        <w:t xml:space="preserve">a rising trend in </w:t>
      </w:r>
      <w:r w:rsidR="005636B7">
        <w:t xml:space="preserve">relative </w:t>
      </w:r>
      <w:r w:rsidR="003C73FC">
        <w:t xml:space="preserve">Indigenous </w:t>
      </w:r>
      <w:r w:rsidR="008440F4">
        <w:t xml:space="preserve">participation rates </w:t>
      </w:r>
      <w:r w:rsidR="008440F4" w:rsidRPr="00230AE6">
        <w:t>in the N</w:t>
      </w:r>
      <w:r w:rsidR="006E7286">
        <w:t>orthern Territory</w:t>
      </w:r>
      <w:r w:rsidR="008440F4" w:rsidRPr="00230AE6">
        <w:t xml:space="preserve"> that began before 2008</w:t>
      </w:r>
      <w:r w:rsidR="005636B7">
        <w:t xml:space="preserve"> and had nothing to do with SEAM. </w:t>
      </w:r>
    </w:p>
    <w:p w14:paraId="2EC37D5B" w14:textId="1E8D1A76" w:rsidR="00F93FDF" w:rsidRDefault="00426758" w:rsidP="00EC5BC4">
      <w:pPr>
        <w:spacing w:after="120" w:line="360" w:lineRule="auto"/>
        <w:ind w:firstLine="204"/>
        <w:jc w:val="both"/>
      </w:pPr>
      <w:r>
        <w:t xml:space="preserve">Unfortunately, </w:t>
      </w:r>
      <w:r w:rsidR="00902352">
        <w:t xml:space="preserve">we have </w:t>
      </w:r>
      <w:r w:rsidR="00EC5BC4">
        <w:t xml:space="preserve">only </w:t>
      </w:r>
      <w:r w:rsidR="00902352">
        <w:t xml:space="preserve">one pre-treatment period </w:t>
      </w:r>
      <w:r w:rsidR="005636B7">
        <w:t xml:space="preserve">of data, </w:t>
      </w:r>
      <w:r w:rsidR="00EC5BC4">
        <w:t xml:space="preserve">2008, </w:t>
      </w:r>
      <w:r w:rsidR="005636B7">
        <w:t>as t</w:t>
      </w:r>
      <w:r>
        <w:t>here</w:t>
      </w:r>
      <w:r w:rsidR="004E3B63">
        <w:t xml:space="preserve"> </w:t>
      </w:r>
      <w:r w:rsidR="00EC68E7">
        <w:t>are</w:t>
      </w:r>
      <w:r w:rsidR="003C73FC">
        <w:t xml:space="preserve"> </w:t>
      </w:r>
      <w:r w:rsidR="008440F4">
        <w:t xml:space="preserve">no </w:t>
      </w:r>
      <w:r w:rsidR="003C73FC">
        <w:t>earlier data on NAPLAN participation rates</w:t>
      </w:r>
      <w:r w:rsidR="00EC5BC4">
        <w:t>, which</w:t>
      </w:r>
      <w:r w:rsidR="004E3B63">
        <w:t xml:space="preserve"> </w:t>
      </w:r>
      <w:r w:rsidR="005636B7">
        <w:t xml:space="preserve">would allow us to compare </w:t>
      </w:r>
      <w:r>
        <w:t>pre-2009 trends</w:t>
      </w:r>
      <w:r w:rsidR="004E3B63">
        <w:t xml:space="preserve">, </w:t>
      </w:r>
      <w:r w:rsidR="00273FE2">
        <w:t xml:space="preserve">nor </w:t>
      </w:r>
      <w:r w:rsidR="004E3B63">
        <w:t xml:space="preserve">could we find </w:t>
      </w:r>
      <w:r w:rsidR="00273FE2">
        <w:t>comparative pre-treatment data on attendance rates</w:t>
      </w:r>
      <w:r w:rsidR="00EC68E7">
        <w:t>.</w:t>
      </w:r>
      <w:r w:rsidR="00273FE2">
        <w:rPr>
          <w:rStyle w:val="FootnoteReference"/>
        </w:rPr>
        <w:footnoteReference w:id="5"/>
      </w:r>
      <w:r w:rsidR="00273FE2">
        <w:t xml:space="preserve"> </w:t>
      </w:r>
      <w:r w:rsidR="005636B7">
        <w:t xml:space="preserve">However, it seems unlikely that </w:t>
      </w:r>
      <w:r w:rsidR="00902352">
        <w:t>the increase in participation rates we observe in the N</w:t>
      </w:r>
      <w:r w:rsidR="005636B7">
        <w:t xml:space="preserve">orthern </w:t>
      </w:r>
      <w:r w:rsidR="00902352">
        <w:t>T</w:t>
      </w:r>
      <w:r w:rsidR="005636B7">
        <w:t>erritory</w:t>
      </w:r>
      <w:r w:rsidR="00902352">
        <w:t xml:space="preserve"> </w:t>
      </w:r>
      <w:r w:rsidR="005636B7">
        <w:t xml:space="preserve">is the </w:t>
      </w:r>
      <w:r w:rsidR="00902352">
        <w:t xml:space="preserve">continuation of an earlier </w:t>
      </w:r>
      <w:r w:rsidR="005636B7">
        <w:t>trend of specific, comparative increases.</w:t>
      </w:r>
      <w:r w:rsidR="00273FE2">
        <w:t xml:space="preserve"> </w:t>
      </w:r>
      <w:r w:rsidR="008440F4">
        <w:t>T</w:t>
      </w:r>
      <w:r w:rsidR="008440F4" w:rsidRPr="00230AE6">
        <w:t xml:space="preserve">he NTER </w:t>
      </w:r>
      <w:r w:rsidR="00273FE2">
        <w:t>initiative was large</w:t>
      </w:r>
      <w:r w:rsidR="004E3B63">
        <w:t>ly</w:t>
      </w:r>
      <w:r w:rsidR="00273FE2">
        <w:t xml:space="preserve"> a response to a</w:t>
      </w:r>
      <w:r w:rsidR="008440F4" w:rsidRPr="00230AE6">
        <w:t xml:space="preserve"> </w:t>
      </w:r>
      <w:r w:rsidR="00902352">
        <w:t xml:space="preserve">perceived </w:t>
      </w:r>
      <w:r w:rsidR="008440F4" w:rsidRPr="00230AE6">
        <w:t xml:space="preserve">crisis in </w:t>
      </w:r>
      <w:r w:rsidR="00EC5BC4" w:rsidRPr="00230AE6">
        <w:t>childcare</w:t>
      </w:r>
      <w:r w:rsidR="00273FE2">
        <w:t xml:space="preserve"> among Indigenous </w:t>
      </w:r>
      <w:r w:rsidR="007722B4">
        <w:t xml:space="preserve">families </w:t>
      </w:r>
      <w:r w:rsidR="00273FE2">
        <w:t>in the Northern Territory</w:t>
      </w:r>
      <w:r w:rsidR="008440F4" w:rsidRPr="00230AE6">
        <w:t>, including high rates of truancy</w:t>
      </w:r>
      <w:r w:rsidR="004E3B63">
        <w:t xml:space="preserve"> (</w:t>
      </w:r>
      <w:r w:rsidR="004E3B63" w:rsidRPr="00E97EBD">
        <w:t>Wild and Anderson</w:t>
      </w:r>
      <w:r w:rsidR="004E3B63">
        <w:t>,</w:t>
      </w:r>
      <w:r w:rsidR="004E3B63" w:rsidRPr="00E97EBD">
        <w:t xml:space="preserve"> 2007).</w:t>
      </w:r>
      <w:r w:rsidR="008440F4" w:rsidRPr="00230AE6">
        <w:t xml:space="preserve"> </w:t>
      </w:r>
      <w:r w:rsidR="00273FE2">
        <w:t xml:space="preserve">This is </w:t>
      </w:r>
      <w:r w:rsidR="004E3B63">
        <w:t>not</w:t>
      </w:r>
      <w:r w:rsidR="00273FE2">
        <w:t xml:space="preserve"> consistent with </w:t>
      </w:r>
      <w:r w:rsidR="008440F4" w:rsidRPr="00230AE6">
        <w:t xml:space="preserve">a rising trend in </w:t>
      </w:r>
      <w:r w:rsidR="00273FE2">
        <w:t xml:space="preserve">school </w:t>
      </w:r>
      <w:r w:rsidR="008440F4" w:rsidRPr="00230AE6">
        <w:t>attendance</w:t>
      </w:r>
      <w:r w:rsidR="00273FE2">
        <w:t xml:space="preserve">. Had such a trend been observed at the time it </w:t>
      </w:r>
      <w:r w:rsidR="004E3B63">
        <w:t>c</w:t>
      </w:r>
      <w:r w:rsidR="008440F4" w:rsidRPr="00230AE6">
        <w:t xml:space="preserve">ould have been </w:t>
      </w:r>
      <w:r w:rsidR="00273FE2">
        <w:t>u</w:t>
      </w:r>
      <w:r w:rsidR="008440F4" w:rsidRPr="00230AE6">
        <w:t xml:space="preserve">sed </w:t>
      </w:r>
      <w:r w:rsidR="00273FE2">
        <w:t xml:space="preserve">to oppose </w:t>
      </w:r>
      <w:r w:rsidR="004E3B63">
        <w:t xml:space="preserve">enactment of </w:t>
      </w:r>
      <w:r w:rsidR="00273FE2">
        <w:t xml:space="preserve">the NTER </w:t>
      </w:r>
      <w:r w:rsidR="008440F4" w:rsidRPr="00230AE6">
        <w:t xml:space="preserve">by </w:t>
      </w:r>
      <w:r w:rsidR="00902352">
        <w:t>those</w:t>
      </w:r>
      <w:r w:rsidR="008440F4" w:rsidRPr="00230AE6">
        <w:t xml:space="preserve"> </w:t>
      </w:r>
      <w:r w:rsidR="00273FE2">
        <w:t xml:space="preserve">who </w:t>
      </w:r>
      <w:r w:rsidR="008440F4" w:rsidRPr="00230AE6">
        <w:t>o</w:t>
      </w:r>
      <w:r w:rsidR="00273FE2">
        <w:t>bjected to its harsh measures; we found</w:t>
      </w:r>
      <w:r w:rsidR="008440F4" w:rsidRPr="00230AE6">
        <w:t xml:space="preserve"> no mention of such a</w:t>
      </w:r>
      <w:r w:rsidR="00273FE2">
        <w:t xml:space="preserve"> claim</w:t>
      </w:r>
      <w:r w:rsidR="008440F4" w:rsidRPr="00230AE6">
        <w:t>.</w:t>
      </w:r>
      <w:r w:rsidR="00EE5FBD">
        <w:t xml:space="preserve"> On the contrary, the historical record suggests that the </w:t>
      </w:r>
      <w:r w:rsidR="00A122E1">
        <w:t>crisis in the N</w:t>
      </w:r>
      <w:r w:rsidR="00A84478">
        <w:t xml:space="preserve">orthern </w:t>
      </w:r>
      <w:r w:rsidR="00A122E1">
        <w:t>T</w:t>
      </w:r>
      <w:r w:rsidR="00A84478">
        <w:t xml:space="preserve">erritory </w:t>
      </w:r>
      <w:r w:rsidR="00A122E1">
        <w:t xml:space="preserve">preceded the NTER by </w:t>
      </w:r>
      <w:r w:rsidR="00A84478">
        <w:t xml:space="preserve">some years </w:t>
      </w:r>
      <w:r w:rsidR="00EE5FBD">
        <w:t xml:space="preserve">(Broome, 2010, Chapter 14). </w:t>
      </w:r>
    </w:p>
    <w:p w14:paraId="0F2EE7DB" w14:textId="77777777" w:rsidR="00EC5BC4" w:rsidRDefault="00230AE6" w:rsidP="00EC5BC4">
      <w:pPr>
        <w:spacing w:after="120" w:line="360" w:lineRule="auto"/>
        <w:ind w:firstLine="204"/>
        <w:jc w:val="both"/>
      </w:pPr>
      <w:r>
        <w:t xml:space="preserve">The combination of </w:t>
      </w:r>
      <w:r w:rsidR="00F93FDF">
        <w:t xml:space="preserve">SEAM </w:t>
      </w:r>
      <w:r>
        <w:t xml:space="preserve">and the NTER </w:t>
      </w:r>
      <w:r w:rsidR="00E01C48">
        <w:t xml:space="preserve">immediately </w:t>
      </w:r>
      <w:r w:rsidR="007B6699">
        <w:t xml:space="preserve">motivated many Indigenous parents in the Northern Territory </w:t>
      </w:r>
      <w:r w:rsidR="005175AC">
        <w:t>to send their children to school</w:t>
      </w:r>
      <w:r w:rsidR="00F93FDF">
        <w:t>,</w:t>
      </w:r>
      <w:r w:rsidR="002E429B">
        <w:t xml:space="preserve"> </w:t>
      </w:r>
      <w:r>
        <w:t xml:space="preserve">but </w:t>
      </w:r>
      <w:r w:rsidR="00F84C7B">
        <w:t>those who</w:t>
      </w:r>
      <w:r w:rsidR="005175AC">
        <w:t xml:space="preserve"> </w:t>
      </w:r>
      <w:r w:rsidR="005175AC" w:rsidRPr="00886E83">
        <w:t>failed to meet school attendance requirements</w:t>
      </w:r>
      <w:r w:rsidR="005175AC">
        <w:t xml:space="preserve"> were not punished</w:t>
      </w:r>
      <w:r w:rsidR="00E01C48">
        <w:t>. S</w:t>
      </w:r>
      <w:r w:rsidR="00B76E8E">
        <w:t>uspension of</w:t>
      </w:r>
      <w:r w:rsidR="00886E83" w:rsidRPr="00886E83">
        <w:t xml:space="preserve"> welfare payments from </w:t>
      </w:r>
      <w:r w:rsidR="005175AC">
        <w:t xml:space="preserve">these </w:t>
      </w:r>
      <w:r w:rsidR="00886E83" w:rsidRPr="00886E83">
        <w:t xml:space="preserve">parents was not carried </w:t>
      </w:r>
      <w:r w:rsidR="00B76E8E">
        <w:t>out in a single case (DEEWR, 20</w:t>
      </w:r>
      <w:r w:rsidR="00DC1EBA">
        <w:t>11</w:t>
      </w:r>
      <w:r w:rsidR="00B76E8E">
        <w:t>)</w:t>
      </w:r>
      <w:r w:rsidR="001D2E46">
        <w:t>,</w:t>
      </w:r>
      <w:r w:rsidR="00886E83" w:rsidRPr="00886E83">
        <w:t xml:space="preserve"> and as this became known, participation rates fell off. The following year, 2010, saw an erosion of about half the gains </w:t>
      </w:r>
      <w:r w:rsidR="00886E83" w:rsidRPr="00886E83">
        <w:lastRenderedPageBreak/>
        <w:t xml:space="preserve">achieved </w:t>
      </w:r>
      <w:r w:rsidR="001D2E46">
        <w:t>in 2009</w:t>
      </w:r>
      <w:r w:rsidR="00814B1A">
        <w:t>,</w:t>
      </w:r>
      <w:r w:rsidR="00776B71">
        <w:t xml:space="preserve"> and they continued to fall</w:t>
      </w:r>
      <w:r w:rsidR="00814B1A">
        <w:t xml:space="preserve"> to 2012, </w:t>
      </w:r>
      <w:r w:rsidR="00886E83" w:rsidRPr="00886E83">
        <w:t xml:space="preserve">the last year in our study, </w:t>
      </w:r>
      <w:r w:rsidR="00814B1A">
        <w:t xml:space="preserve">though remaining </w:t>
      </w:r>
      <w:r w:rsidR="00886E83" w:rsidRPr="00886E83">
        <w:t>significantly a</w:t>
      </w:r>
      <w:r w:rsidR="002E429B">
        <w:t>bove the baseline level of 2008</w:t>
      </w:r>
      <w:r w:rsidR="001D2E46">
        <w:t>.</w:t>
      </w:r>
      <w:r w:rsidR="0074582D">
        <w:rPr>
          <w:rStyle w:val="FootnoteReference"/>
        </w:rPr>
        <w:footnoteReference w:id="6"/>
      </w:r>
      <w:r w:rsidR="00886E83" w:rsidRPr="00886E83">
        <w:t xml:space="preserve"> </w:t>
      </w:r>
      <w:r w:rsidR="001D2E46">
        <w:t xml:space="preserve">This </w:t>
      </w:r>
      <w:r>
        <w:t>highlight</w:t>
      </w:r>
      <w:r w:rsidR="001D2E46">
        <w:t xml:space="preserve">s </w:t>
      </w:r>
      <w:r w:rsidR="000B19E2">
        <w:t xml:space="preserve">both </w:t>
      </w:r>
      <w:r w:rsidR="001D2E46">
        <w:t xml:space="preserve">the </w:t>
      </w:r>
      <w:r w:rsidR="000B19E2">
        <w:t xml:space="preserve">importance of credibility for implementing </w:t>
      </w:r>
      <w:r w:rsidR="001D2E46">
        <w:t xml:space="preserve">policies linking </w:t>
      </w:r>
      <w:r w:rsidR="001D2E46" w:rsidRPr="001D2E46">
        <w:t xml:space="preserve">welfare payments to school attendance </w:t>
      </w:r>
      <w:r w:rsidR="001D2E46">
        <w:t>over time</w:t>
      </w:r>
      <w:r w:rsidR="00536941">
        <w:t>,</w:t>
      </w:r>
      <w:r w:rsidR="000B19E2">
        <w:t xml:space="preserve"> and the difficulty of sustaining their</w:t>
      </w:r>
      <w:r w:rsidR="000B19E2" w:rsidRPr="001D2E46">
        <w:t xml:space="preserve"> credib</w:t>
      </w:r>
      <w:r w:rsidR="000B19E2">
        <w:t>i</w:t>
      </w:r>
      <w:r w:rsidR="000B19E2" w:rsidRPr="001D2E46">
        <w:t>l</w:t>
      </w:r>
      <w:r w:rsidR="000B19E2">
        <w:t>ity</w:t>
      </w:r>
      <w:r>
        <w:t xml:space="preserve"> even in the unique conditions </w:t>
      </w:r>
      <w:r w:rsidR="009A4F84">
        <w:t>of</w:t>
      </w:r>
      <w:r>
        <w:t xml:space="preserve"> the NTER. </w:t>
      </w:r>
    </w:p>
    <w:p w14:paraId="37D927DC" w14:textId="77777777" w:rsidR="008B5C87" w:rsidRDefault="00D72496" w:rsidP="008B5C87">
      <w:pPr>
        <w:spacing w:after="120" w:line="360" w:lineRule="auto"/>
        <w:ind w:firstLine="204"/>
        <w:jc w:val="both"/>
      </w:pPr>
      <w:r>
        <w:t xml:space="preserve">The </w:t>
      </w:r>
      <w:r w:rsidR="00A122E1">
        <w:t xml:space="preserve">circumstances </w:t>
      </w:r>
      <w:r w:rsidR="004918D6">
        <w:t>associated with the implementation of</w:t>
      </w:r>
      <w:r>
        <w:t xml:space="preserve"> </w:t>
      </w:r>
      <w:r w:rsidR="00EC5BC4">
        <w:t>the NTER and we</w:t>
      </w:r>
      <w:r>
        <w:t>re</w:t>
      </w:r>
      <w:r w:rsidR="004918D6">
        <w:t xml:space="preserve"> extreme</w:t>
      </w:r>
      <w:r>
        <w:t xml:space="preserve">, but the lessons </w:t>
      </w:r>
      <w:r w:rsidR="00EC5BC4">
        <w:t xml:space="preserve">it imparts </w:t>
      </w:r>
      <w:r>
        <w:t>appl</w:t>
      </w:r>
      <w:r w:rsidR="00536941">
        <w:t>y</w:t>
      </w:r>
      <w:r>
        <w:t xml:space="preserve"> more generally to the use of f</w:t>
      </w:r>
      <w:r w:rsidRPr="00230AE6">
        <w:t xml:space="preserve">inancial coercion </w:t>
      </w:r>
      <w:r>
        <w:t>by public authorities to p</w:t>
      </w:r>
      <w:r w:rsidRPr="00230AE6">
        <w:t>romote school attendance</w:t>
      </w:r>
      <w:r>
        <w:t xml:space="preserve"> among </w:t>
      </w:r>
      <w:r w:rsidR="00A122E1">
        <w:t xml:space="preserve">disadvantaged </w:t>
      </w:r>
      <w:r w:rsidR="004918D6">
        <w:t xml:space="preserve">and socially excluded </w:t>
      </w:r>
      <w:r w:rsidR="00A122E1">
        <w:t xml:space="preserve">populations. </w:t>
      </w:r>
      <w:r>
        <w:t>The example of SEAM suggests that even where initially effective, such coercive policies are difficult to sustain for long periods of time</w:t>
      </w:r>
      <w:r w:rsidR="00536941">
        <w:t>, even in extreme circumstances</w:t>
      </w:r>
      <w:r>
        <w:t xml:space="preserve">. </w:t>
      </w:r>
      <w:r w:rsidR="00536941">
        <w:t>What</w:t>
      </w:r>
      <w:r>
        <w:t xml:space="preserve"> they can do is create a window of opportunity in which parents and children in truant families are </w:t>
      </w:r>
      <w:r w:rsidR="00536941">
        <w:t>induc</w:t>
      </w:r>
      <w:r>
        <w:t>ed to experience school</w:t>
      </w:r>
      <w:r w:rsidR="00536941">
        <w:t xml:space="preserve"> participation</w:t>
      </w:r>
      <w:r>
        <w:t xml:space="preserve">. </w:t>
      </w:r>
      <w:r w:rsidR="00536941">
        <w:t>For</w:t>
      </w:r>
      <w:r>
        <w:t xml:space="preserve"> these policies to have a lasting effect and permanently increase attendance,</w:t>
      </w:r>
      <w:r w:rsidR="008B5C87">
        <w:t xml:space="preserve"> the schools serving these populations must deliver education services that are of perceived value to parents and students. </w:t>
      </w:r>
      <w:r>
        <w:t xml:space="preserve"> This may require changin</w:t>
      </w:r>
      <w:r w:rsidR="008B5C87">
        <w:t xml:space="preserve">g what </w:t>
      </w:r>
      <w:r>
        <w:t xml:space="preserve">these schools </w:t>
      </w:r>
      <w:r w:rsidR="008B5C87">
        <w:t>teach and how they teach it;</w:t>
      </w:r>
      <w:r>
        <w:t xml:space="preserve"> and </w:t>
      </w:r>
      <w:r w:rsidR="008B5C87">
        <w:t xml:space="preserve">offering students better </w:t>
      </w:r>
      <w:r w:rsidR="00536941">
        <w:t>employment</w:t>
      </w:r>
      <w:r>
        <w:t xml:space="preserve"> </w:t>
      </w:r>
      <w:r w:rsidR="008B5C87">
        <w:t xml:space="preserve">prospects when they </w:t>
      </w:r>
      <w:r>
        <w:t>graduate.</w:t>
      </w:r>
      <w:r w:rsidR="008B5C87">
        <w:t xml:space="preserve"> </w:t>
      </w:r>
    </w:p>
    <w:p w14:paraId="6E244402" w14:textId="20DAF7AB" w:rsidR="00886E83" w:rsidRDefault="00F84C7B" w:rsidP="008B5C87">
      <w:pPr>
        <w:spacing w:after="120" w:line="360" w:lineRule="auto"/>
        <w:ind w:firstLine="204"/>
        <w:jc w:val="both"/>
      </w:pPr>
      <w:r>
        <w:t>T</w:t>
      </w:r>
      <w:r w:rsidR="00886E83" w:rsidRPr="00886E83">
        <w:t>he remainder of the paper</w:t>
      </w:r>
      <w:r>
        <w:t xml:space="preserve"> is as follows. </w:t>
      </w:r>
      <w:r w:rsidR="00886E83" w:rsidRPr="00886E83">
        <w:t xml:space="preserve">Section 2 </w:t>
      </w:r>
      <w:r w:rsidR="00F93FDF">
        <w:t xml:space="preserve">provides background data on </w:t>
      </w:r>
      <w:r w:rsidR="00886E83" w:rsidRPr="00886E83">
        <w:t xml:space="preserve">the Indigenous population in the Northern Territory; Section 3 describes the NTER and SEAM initiatives; Section 4 presents descriptive statistics on the impact of SEAM on </w:t>
      </w:r>
      <w:r w:rsidR="00E46475">
        <w:t>participation rates and changes in average performance</w:t>
      </w:r>
      <w:r w:rsidR="00886E83" w:rsidRPr="00886E83">
        <w:t xml:space="preserve"> in the Northern Territory; Section 5 presents </w:t>
      </w:r>
      <w:r>
        <w:t xml:space="preserve">the </w:t>
      </w:r>
      <w:r w:rsidR="00886E83" w:rsidRPr="00886E83">
        <w:t>results of our regression analysis; and Section 6 concludes.</w:t>
      </w:r>
    </w:p>
    <w:p w14:paraId="7AE88686" w14:textId="77777777" w:rsidR="00D72496" w:rsidRDefault="00D72496" w:rsidP="00365102">
      <w:pPr>
        <w:spacing w:after="120"/>
      </w:pPr>
    </w:p>
    <w:p w14:paraId="60CD2C51" w14:textId="77777777" w:rsidR="00886E83" w:rsidRPr="00886E83" w:rsidRDefault="00886E83" w:rsidP="00365102">
      <w:pPr>
        <w:pStyle w:val="Heading1"/>
        <w:spacing w:before="240" w:after="240"/>
      </w:pPr>
      <w:r w:rsidRPr="00886E83">
        <w:lastRenderedPageBreak/>
        <w:t>2. Indigenous Australians in the Northern Territory</w:t>
      </w:r>
    </w:p>
    <w:p w14:paraId="7C98159B" w14:textId="77777777" w:rsidR="008B5C87" w:rsidRDefault="00F84C7B" w:rsidP="008B5C87">
      <w:pPr>
        <w:spacing w:after="120" w:line="360" w:lineRule="auto"/>
        <w:ind w:firstLine="204"/>
        <w:jc w:val="both"/>
      </w:pPr>
      <w:r>
        <w:t>T</w:t>
      </w:r>
      <w:r w:rsidR="00886E83" w:rsidRPr="00886E83">
        <w:t>he</w:t>
      </w:r>
      <w:r w:rsidR="00886E83" w:rsidRPr="00886E83">
        <w:rPr>
          <w:lang w:val="en-AU"/>
        </w:rPr>
        <w:t xml:space="preserve"> number of Indigenous Australians in the </w:t>
      </w:r>
      <w:r w:rsidR="00886E83" w:rsidRPr="00886E83">
        <w:t>Northern Territory—</w:t>
      </w:r>
      <w:r w:rsidR="00886E83" w:rsidRPr="00886E83">
        <w:rPr>
          <w:lang w:val="en-AU"/>
        </w:rPr>
        <w:t>5</w:t>
      </w:r>
      <w:r w:rsidR="00E46475">
        <w:rPr>
          <w:lang w:val="en-AU"/>
        </w:rPr>
        <w:t>3</w:t>
      </w:r>
      <w:r w:rsidR="00886E83" w:rsidRPr="00886E83">
        <w:rPr>
          <w:lang w:val="en-AU"/>
        </w:rPr>
        <w:t xml:space="preserve">,000 in </w:t>
      </w:r>
      <w:r w:rsidR="00E46475">
        <w:rPr>
          <w:lang w:val="en-AU"/>
        </w:rPr>
        <w:t xml:space="preserve">2006, 56,000 in </w:t>
      </w:r>
      <w:r w:rsidR="00886E83" w:rsidRPr="00886E83">
        <w:rPr>
          <w:lang w:val="en-AU"/>
        </w:rPr>
        <w:t>the</w:t>
      </w:r>
      <w:r w:rsidR="00886E83" w:rsidRPr="00886E83">
        <w:t xml:space="preserve"> 2011 census</w:t>
      </w:r>
      <w:r w:rsidR="00886E83" w:rsidRPr="00886E83">
        <w:rPr>
          <w:lang w:val="en-AU"/>
        </w:rPr>
        <w:t xml:space="preserve">—is </w:t>
      </w:r>
      <w:r w:rsidR="00E46475">
        <w:rPr>
          <w:lang w:val="en-AU"/>
        </w:rPr>
        <w:t xml:space="preserve">not the largest among </w:t>
      </w:r>
      <w:r w:rsidR="00886E83" w:rsidRPr="00886E83">
        <w:rPr>
          <w:lang w:val="en-AU"/>
        </w:rPr>
        <w:t>Australia</w:t>
      </w:r>
      <w:r w:rsidR="00E46475">
        <w:rPr>
          <w:lang w:val="en-AU"/>
        </w:rPr>
        <w:t>’s states and territories</w:t>
      </w:r>
      <w:r w:rsidR="00886E83" w:rsidRPr="00886E83">
        <w:rPr>
          <w:lang w:val="en-AU"/>
        </w:rPr>
        <w:t xml:space="preserve">, </w:t>
      </w:r>
      <w:r>
        <w:rPr>
          <w:lang w:val="en-AU"/>
        </w:rPr>
        <w:t xml:space="preserve">but </w:t>
      </w:r>
      <w:r w:rsidR="00886E83" w:rsidRPr="00886E83">
        <w:rPr>
          <w:lang w:val="en-AU"/>
        </w:rPr>
        <w:t xml:space="preserve">their share of </w:t>
      </w:r>
      <w:r w:rsidR="00E46475">
        <w:rPr>
          <w:lang w:val="en-AU"/>
        </w:rPr>
        <w:t xml:space="preserve">the </w:t>
      </w:r>
      <w:r w:rsidR="00886E83" w:rsidRPr="00886E83">
        <w:rPr>
          <w:lang w:val="en-AU"/>
        </w:rPr>
        <w:t>total population</w:t>
      </w:r>
      <w:r w:rsidR="007520AE">
        <w:rPr>
          <w:lang w:val="en-AU"/>
        </w:rPr>
        <w:t xml:space="preserve"> in the te</w:t>
      </w:r>
      <w:r w:rsidR="00E46475">
        <w:rPr>
          <w:lang w:val="en-AU"/>
        </w:rPr>
        <w:t>r</w:t>
      </w:r>
      <w:r w:rsidR="007520AE">
        <w:rPr>
          <w:lang w:val="en-AU"/>
        </w:rPr>
        <w:t>ritory</w:t>
      </w:r>
      <w:r w:rsidR="00A46C3C">
        <w:rPr>
          <w:lang w:val="en-AU"/>
        </w:rPr>
        <w:t xml:space="preserve"> </w:t>
      </w:r>
      <w:r w:rsidR="00886E83" w:rsidRPr="00886E83">
        <w:rPr>
          <w:lang w:val="en-AU"/>
        </w:rPr>
        <w:t xml:space="preserve">is by far </w:t>
      </w:r>
      <w:r w:rsidR="00886E83" w:rsidRPr="00886E83">
        <w:t xml:space="preserve">the </w:t>
      </w:r>
      <w:r w:rsidR="00E46475">
        <w:t>larg</w:t>
      </w:r>
      <w:r w:rsidR="00886E83" w:rsidRPr="00886E83">
        <w:t xml:space="preserve">est, </w:t>
      </w:r>
      <w:r w:rsidR="00A46C3C" w:rsidRPr="00886E83">
        <w:rPr>
          <w:lang w:val="en-AU"/>
        </w:rPr>
        <w:t xml:space="preserve">27%, </w:t>
      </w:r>
      <w:r w:rsidR="00886E83" w:rsidRPr="00886E83">
        <w:t xml:space="preserve">and they own roughly half its land. Indigenous Australians </w:t>
      </w:r>
      <w:r w:rsidR="000B19E2">
        <w:t xml:space="preserve">generally </w:t>
      </w:r>
      <w:r w:rsidR="00886E83" w:rsidRPr="00886E83">
        <w:t>exhibit markedly weaker aggregate indicators of well-being compared to non-Indigenous Australians</w:t>
      </w:r>
      <w:r w:rsidR="000B19E2">
        <w:t>;</w:t>
      </w:r>
      <w:r>
        <w:t xml:space="preserve"> and t</w:t>
      </w:r>
      <w:r w:rsidRPr="00886E83">
        <w:t xml:space="preserve">his gap is </w:t>
      </w:r>
      <w:r>
        <w:t xml:space="preserve">yet </w:t>
      </w:r>
      <w:r w:rsidRPr="00886E83">
        <w:t>wide</w:t>
      </w:r>
      <w:r>
        <w:t>r</w:t>
      </w:r>
      <w:r w:rsidRPr="00886E83">
        <w:t xml:space="preserve"> in the Northern Territory, where a large share of the Indigenous population lives in very remote areas</w:t>
      </w:r>
      <w:r w:rsidR="000B19E2">
        <w:t xml:space="preserve"> and</w:t>
      </w:r>
      <w:r w:rsidRPr="00886E83">
        <w:t xml:space="preserve"> maintain</w:t>
      </w:r>
      <w:r w:rsidR="000B19E2">
        <w:t xml:space="preserve">s </w:t>
      </w:r>
      <w:r w:rsidRPr="00886E83">
        <w:t>a separate, traditional way of life</w:t>
      </w:r>
      <w:r w:rsidR="004918D6">
        <w:t xml:space="preserve"> </w:t>
      </w:r>
      <w:r w:rsidR="00410A9A">
        <w:t xml:space="preserve">outside the </w:t>
      </w:r>
      <w:r w:rsidR="008B5C87">
        <w:t>mainstream market</w:t>
      </w:r>
      <w:r w:rsidR="00410A9A">
        <w:t xml:space="preserve"> economy.</w:t>
      </w:r>
      <w:r w:rsidR="008B5C87">
        <w:t xml:space="preserve"> </w:t>
      </w:r>
    </w:p>
    <w:p w14:paraId="70C09BC1" w14:textId="77777777" w:rsidR="008B5C87" w:rsidRDefault="00F84C7B" w:rsidP="008B5C87">
      <w:pPr>
        <w:spacing w:after="120" w:line="360" w:lineRule="auto"/>
        <w:ind w:firstLine="204"/>
        <w:jc w:val="both"/>
      </w:pPr>
      <w:r>
        <w:t xml:space="preserve">Differences in life expectancy illustrate these gaps. </w:t>
      </w:r>
      <w:r w:rsidRPr="00F84C7B">
        <w:t xml:space="preserve">In 2006, life expectancy at birth was 78.7 for all non-Indigenous Australian men; 75.7 for non-Indigenous men in the </w:t>
      </w:r>
      <w:r w:rsidRPr="00886E83">
        <w:t>Northern Territory</w:t>
      </w:r>
      <w:r w:rsidRPr="00F84C7B">
        <w:t xml:space="preserve">; 67.2 years for all Indigenous Australian men; and 61.5 years for Indigenous men in the </w:t>
      </w:r>
      <w:r w:rsidRPr="00886E83">
        <w:t>Northern Territory</w:t>
      </w:r>
      <w:r w:rsidR="000B19E2">
        <w:t xml:space="preserve"> </w:t>
      </w:r>
      <w:r w:rsidR="000B19E2" w:rsidRPr="000B19E2">
        <w:t>(Australian Bureau of Statistics, 2009, Table 1.1)</w:t>
      </w:r>
      <w:r w:rsidRPr="00F84C7B">
        <w:t>.</w:t>
      </w:r>
      <w:r w:rsidRPr="00FF353C">
        <w:rPr>
          <w:vertAlign w:val="superscript"/>
        </w:rPr>
        <w:footnoteReference w:id="7"/>
      </w:r>
      <w:r w:rsidRPr="00F84C7B">
        <w:t xml:space="preserve"> </w:t>
      </w:r>
      <w:r w:rsidR="00370EF3" w:rsidRPr="00886E83">
        <w:t>Differences in aggregate labor market outcomes are similarly arresting. In 2011, 76% of non-Indigenous Australians participate</w:t>
      </w:r>
      <w:r w:rsidR="00370EF3">
        <w:t>d</w:t>
      </w:r>
      <w:r w:rsidR="00370EF3" w:rsidRPr="00886E83">
        <w:t xml:space="preserve"> in the labor force, and 72% </w:t>
      </w:r>
      <w:r w:rsidR="00370EF3">
        <w:t>we</w:t>
      </w:r>
      <w:r w:rsidR="00370EF3" w:rsidRPr="00886E83">
        <w:t>re employed, while only 57% of Indigenous Australians participate</w:t>
      </w:r>
      <w:r w:rsidR="00370EF3">
        <w:t>d</w:t>
      </w:r>
      <w:r w:rsidR="00370EF3" w:rsidRPr="00886E83">
        <w:t xml:space="preserve"> in the workforce and only 48% </w:t>
      </w:r>
      <w:r w:rsidR="00576F51">
        <w:t>we</w:t>
      </w:r>
      <w:r w:rsidR="00370EF3" w:rsidRPr="00886E83">
        <w:t xml:space="preserve">re employed. </w:t>
      </w:r>
      <w:r w:rsidR="00576F51">
        <w:t>Among</w:t>
      </w:r>
      <w:r w:rsidR="00370EF3" w:rsidRPr="00886E83">
        <w:t xml:space="preserve"> Indigenous Australians in the Northern Territory</w:t>
      </w:r>
      <w:r w:rsidR="00576F51">
        <w:t>,</w:t>
      </w:r>
      <w:r w:rsidR="00370EF3" w:rsidRPr="00886E83">
        <w:t xml:space="preserve"> </w:t>
      </w:r>
      <w:r w:rsidR="00576F51">
        <w:t>these rates are</w:t>
      </w:r>
      <w:r w:rsidR="00370EF3" w:rsidRPr="00886E83">
        <w:t xml:space="preserve"> even lower</w:t>
      </w:r>
      <w:r w:rsidR="00576F51">
        <w:t>:</w:t>
      </w:r>
      <w:r w:rsidR="00370EF3" w:rsidRPr="00886E83">
        <w:t xml:space="preserve"> 44%</w:t>
      </w:r>
      <w:r w:rsidR="00576F51">
        <w:t xml:space="preserve"> </w:t>
      </w:r>
      <w:r w:rsidR="00A46C3C">
        <w:t xml:space="preserve">participated </w:t>
      </w:r>
      <w:r w:rsidR="00576F51">
        <w:t xml:space="preserve">in the workforce and 38% </w:t>
      </w:r>
      <w:r w:rsidR="00A46C3C">
        <w:t xml:space="preserve">were </w:t>
      </w:r>
      <w:r w:rsidR="00576F51">
        <w:t>employed</w:t>
      </w:r>
      <w:r w:rsidR="00D45A2B">
        <w:t xml:space="preserve"> (</w:t>
      </w:r>
      <w:r w:rsidR="00D45A2B" w:rsidRPr="00DA1034">
        <w:t>Australian Bureau of Statistics</w:t>
      </w:r>
      <w:r w:rsidR="00D45A2B">
        <w:t>,</w:t>
      </w:r>
      <w:r w:rsidR="00D45A2B" w:rsidRPr="00DA1034">
        <w:t xml:space="preserve"> </w:t>
      </w:r>
      <w:r w:rsidR="00D45A2B">
        <w:t>2012, Table 1</w:t>
      </w:r>
      <w:r w:rsidR="00D45A2B" w:rsidRPr="00DA1034">
        <w:t>)</w:t>
      </w:r>
      <w:r w:rsidR="000B19E2">
        <w:t xml:space="preserve">; and </w:t>
      </w:r>
      <w:r w:rsidR="0008216D">
        <w:t xml:space="preserve">even these </w:t>
      </w:r>
      <w:r w:rsidR="000B19E2">
        <w:t xml:space="preserve">low </w:t>
      </w:r>
      <w:r w:rsidR="0008216D">
        <w:t xml:space="preserve">rates could not have been </w:t>
      </w:r>
      <w:r w:rsidR="000B19E2">
        <w:t>main</w:t>
      </w:r>
      <w:r w:rsidR="0008216D">
        <w:t xml:space="preserve">tained without the support of </w:t>
      </w:r>
      <w:r w:rsidR="00D45A2B" w:rsidRPr="00886E83">
        <w:t xml:space="preserve">the Community Development Employment Project (CDEP), a </w:t>
      </w:r>
      <w:r w:rsidR="0008216D">
        <w:t xml:space="preserve">targeted </w:t>
      </w:r>
      <w:r w:rsidR="00D45A2B" w:rsidRPr="00886E83">
        <w:t>work</w:t>
      </w:r>
      <w:r w:rsidR="0008216D">
        <w:t>-</w:t>
      </w:r>
      <w:r w:rsidR="00D45A2B" w:rsidRPr="00886E83">
        <w:t>for</w:t>
      </w:r>
      <w:r w:rsidR="0008216D">
        <w:t>-</w:t>
      </w:r>
      <w:r w:rsidR="00D45A2B" w:rsidRPr="00886E83">
        <w:t>welfare scheme</w:t>
      </w:r>
      <w:r w:rsidR="0008216D">
        <w:t xml:space="preserve"> </w:t>
      </w:r>
      <w:r w:rsidR="00D45A2B">
        <w:t>(Hunter and Gray, 2012).</w:t>
      </w:r>
      <w:r w:rsidR="008F0DC9" w:rsidRPr="00886E83">
        <w:rPr>
          <w:vertAlign w:val="superscript"/>
        </w:rPr>
        <w:footnoteReference w:id="8"/>
      </w:r>
      <w:r w:rsidR="008B5C87">
        <w:t xml:space="preserve"> </w:t>
      </w:r>
    </w:p>
    <w:p w14:paraId="7638C50A" w14:textId="77777777" w:rsidR="008B5C87" w:rsidRDefault="00886E83" w:rsidP="008B5C87">
      <w:pPr>
        <w:spacing w:after="120" w:line="360" w:lineRule="auto"/>
        <w:ind w:firstLine="204"/>
        <w:jc w:val="both"/>
      </w:pPr>
      <w:r w:rsidRPr="00886E83">
        <w:lastRenderedPageBreak/>
        <w:t xml:space="preserve">Altman, Buchanan and Biddle (2006) describe Indigenous employment in Australia as divided among three sectors: the private or market sector; the public sector (predominately CDEP); and the customary or informal sector, which includes activities such as hunting, fishing and gathering, production of art and crafts, and land, habitat and species management participation. </w:t>
      </w:r>
      <w:r w:rsidR="008F0DC9">
        <w:t>Though ignored by official statistics, e</w:t>
      </w:r>
      <w:r w:rsidRPr="00886E83">
        <w:t>mployment in the customary or informal sector is especially large in remote Indigenous communities, which account for a disproportionately large fraction of the Indigenous population of the Northern Territory.</w:t>
      </w:r>
      <w:r w:rsidR="00EF0BFA">
        <w:t xml:space="preserve"> This </w:t>
      </w:r>
      <w:r w:rsidR="008F0DC9">
        <w:t>increas</w:t>
      </w:r>
      <w:r w:rsidR="00EF0BFA">
        <w:t xml:space="preserve">es </w:t>
      </w:r>
      <w:r w:rsidRPr="00886E83">
        <w:t>the opportunity cost of conventional schooling</w:t>
      </w:r>
      <w:r w:rsidR="00EF0BFA">
        <w:t xml:space="preserve"> </w:t>
      </w:r>
      <w:r w:rsidR="008F0DC9">
        <w:t>while lowering its expected</w:t>
      </w:r>
      <w:r w:rsidRPr="00886E83">
        <w:t xml:space="preserve"> </w:t>
      </w:r>
      <w:r w:rsidR="008F0DC9">
        <w:t xml:space="preserve">incremental </w:t>
      </w:r>
      <w:r w:rsidRPr="00886E83">
        <w:t xml:space="preserve">returns </w:t>
      </w:r>
      <w:r w:rsidR="008F0DC9">
        <w:t>for</w:t>
      </w:r>
      <w:r w:rsidRPr="00886E83">
        <w:t xml:space="preserve"> Indigenous families in remote areas</w:t>
      </w:r>
      <w:r w:rsidR="008F0DC9">
        <w:t>.</w:t>
      </w:r>
      <w:r w:rsidR="008B5C87">
        <w:t xml:space="preserve"> </w:t>
      </w:r>
    </w:p>
    <w:p w14:paraId="4A3AD92A" w14:textId="77777777" w:rsidR="008B5C87" w:rsidRDefault="008F0DC9" w:rsidP="008B5C87">
      <w:pPr>
        <w:spacing w:after="120" w:line="360" w:lineRule="auto"/>
        <w:ind w:firstLine="204"/>
        <w:jc w:val="both"/>
      </w:pPr>
      <w:r>
        <w:t>Differences in education achievement between Indigenous Australians an</w:t>
      </w:r>
      <w:r w:rsidR="007277E2">
        <w:t>d the Australian population at large and in the Northern Territory</w:t>
      </w:r>
      <w:r>
        <w:t xml:space="preserve"> exhibit a similar pattern to those observed in life expectancy and the labor market.</w:t>
      </w:r>
      <w:r w:rsidRPr="00886E83">
        <w:rPr>
          <w:i/>
          <w:iCs/>
        </w:rPr>
        <w:t xml:space="preserve"> </w:t>
      </w:r>
      <w:r w:rsidRPr="00886E83">
        <w:t>The NAPLAN results for 2008</w:t>
      </w:r>
      <w:r w:rsidR="00672B3D">
        <w:t>, i</w:t>
      </w:r>
      <w:r>
        <w:t>ts first year of operation</w:t>
      </w:r>
      <w:r w:rsidR="00672B3D">
        <w:t xml:space="preserve"> and the year </w:t>
      </w:r>
      <w:r w:rsidRPr="00886E83">
        <w:t>before SEAM</w:t>
      </w:r>
      <w:r>
        <w:t xml:space="preserve"> was implemented</w:t>
      </w:r>
      <w:r w:rsidR="00672B3D">
        <w:t xml:space="preserve">, </w:t>
      </w:r>
      <w:r>
        <w:t>give</w:t>
      </w:r>
      <w:r w:rsidRPr="00886E83">
        <w:t xml:space="preserve"> the </w:t>
      </w:r>
      <w:r>
        <w:t>percentage</w:t>
      </w:r>
      <w:r w:rsidRPr="00886E83">
        <w:t xml:space="preserve"> of non-Indigenous Australian students in grade </w:t>
      </w:r>
      <w:r w:rsidR="00672B3D">
        <w:t>7</w:t>
      </w:r>
      <w:r w:rsidRPr="00886E83">
        <w:t xml:space="preserve"> </w:t>
      </w:r>
      <w:r w:rsidR="00672B3D">
        <w:t xml:space="preserve">achieving the national minimum </w:t>
      </w:r>
      <w:r w:rsidRPr="00886E83">
        <w:t>as 95.4 in reading and 96.4 in numeracy. The corresponding rates for all Indigenous Australians were 71.9 in reading and 78.6 in numeracy; for Indigenous Australians in the Northern Territory, 32.4 and 50.2; and for Indigenous Australians in the Northern Territory in Very Remote locations, 13.7 and 34.9</w:t>
      </w:r>
      <w:r w:rsidR="00672B3D" w:rsidRPr="00886E83">
        <w:t>.</w:t>
      </w:r>
      <w:r w:rsidR="00672B3D" w:rsidRPr="00886E83">
        <w:rPr>
          <w:vertAlign w:val="superscript"/>
        </w:rPr>
        <w:footnoteReference w:id="9"/>
      </w:r>
      <w:r w:rsidR="00672B3D">
        <w:t xml:space="preserve"> The numbers for other grade levels are similar</w:t>
      </w:r>
      <w:r w:rsidRPr="00886E83">
        <w:t xml:space="preserve">. </w:t>
      </w:r>
    </w:p>
    <w:p w14:paraId="7890A285" w14:textId="4EA9EC89" w:rsidR="003143AA" w:rsidRDefault="00672B3D" w:rsidP="008B5C87">
      <w:pPr>
        <w:spacing w:after="120" w:line="360" w:lineRule="auto"/>
        <w:ind w:firstLine="204"/>
        <w:jc w:val="both"/>
      </w:pPr>
      <w:r>
        <w:t xml:space="preserve">We conclude this section with data </w:t>
      </w:r>
      <w:r w:rsidRPr="00E97EBD">
        <w:t xml:space="preserve">drawn from the National Aboriginal and Torres Strait Islander Social Survey (NATSISS) for 2008, </w:t>
      </w:r>
      <w:r>
        <w:t xml:space="preserve">presented in Table 1, which illustrates </w:t>
      </w:r>
      <w:r w:rsidRPr="00E97EBD">
        <w:t xml:space="preserve">the distinct cultural identity and </w:t>
      </w:r>
      <w:r>
        <w:t>personal</w:t>
      </w:r>
      <w:r w:rsidRPr="00E97EBD">
        <w:t xml:space="preserve"> circumstances of Indigenous Australians living in the Northern Territory</w:t>
      </w:r>
      <w:r>
        <w:t>. C</w:t>
      </w:r>
      <w:r w:rsidRPr="00E97EBD">
        <w:t xml:space="preserve">ompared to other large Indigenous populations in Western Australia, Queensland, New South </w:t>
      </w:r>
      <w:r w:rsidRPr="00E97EBD">
        <w:lastRenderedPageBreak/>
        <w:t>Wales and South Australia</w:t>
      </w:r>
      <w:r>
        <w:t>,</w:t>
      </w:r>
      <w:r w:rsidRPr="00E97EBD">
        <w:t xml:space="preserve"> Indigenous </w:t>
      </w:r>
      <w:r>
        <w:t>people</w:t>
      </w:r>
      <w:r w:rsidRPr="00E97EBD">
        <w:t xml:space="preserve"> in the Northern Territory ha</w:t>
      </w:r>
      <w:r>
        <w:t>ve</w:t>
      </w:r>
      <w:r w:rsidRPr="00E97EBD">
        <w:t xml:space="preserve"> stronger ties to traditional Indigenous culture and ways of life</w:t>
      </w:r>
      <w:r>
        <w:t xml:space="preserve">, and to their tribal groups and natural families. </w:t>
      </w:r>
    </w:p>
    <w:p w14:paraId="77241B4A" w14:textId="36B67802" w:rsidR="003143AA" w:rsidRDefault="003143AA"/>
    <w:p w14:paraId="24E2B2B0" w14:textId="77777777" w:rsidR="00E97EBD" w:rsidRPr="0029492A" w:rsidRDefault="00E97EBD" w:rsidP="00E65DAD">
      <w:pPr>
        <w:pStyle w:val="TableTitle"/>
      </w:pPr>
      <w:proofErr w:type="gramStart"/>
      <w:r w:rsidRPr="0029492A">
        <w:t>Table 1</w:t>
      </w:r>
      <w:r w:rsidR="00E65DAD">
        <w:t>.</w:t>
      </w:r>
      <w:proofErr w:type="gramEnd"/>
      <w:r w:rsidR="00E65DAD">
        <w:t xml:space="preserve"> </w:t>
      </w:r>
      <w:r w:rsidRPr="0029492A">
        <w:t>Selected characteristics of the Indigenous population by state/territory (% share of the local Indigenous population)</w:t>
      </w:r>
    </w:p>
    <w:tbl>
      <w:tblPr>
        <w:tblW w:w="8364" w:type="dxa"/>
        <w:tblInd w:w="-34" w:type="dxa"/>
        <w:tblLayout w:type="fixed"/>
        <w:tblLook w:val="04A0" w:firstRow="1" w:lastRow="0" w:firstColumn="1" w:lastColumn="0" w:noHBand="0" w:noVBand="1"/>
      </w:tblPr>
      <w:tblGrid>
        <w:gridCol w:w="2694"/>
        <w:gridCol w:w="1134"/>
        <w:gridCol w:w="1134"/>
        <w:gridCol w:w="1275"/>
        <w:gridCol w:w="1134"/>
        <w:gridCol w:w="993"/>
      </w:tblGrid>
      <w:tr w:rsidR="00E97EBD" w:rsidRPr="001633FD" w14:paraId="49C9356F" w14:textId="77777777" w:rsidTr="006C109A">
        <w:trPr>
          <w:trHeight w:hRule="exact" w:val="596"/>
        </w:trPr>
        <w:tc>
          <w:tcPr>
            <w:tcW w:w="2694" w:type="dxa"/>
            <w:tcBorders>
              <w:top w:val="double" w:sz="4" w:space="0" w:color="auto"/>
              <w:bottom w:val="single" w:sz="4" w:space="0" w:color="auto"/>
            </w:tcBorders>
            <w:vAlign w:val="center"/>
          </w:tcPr>
          <w:p w14:paraId="27EDD804" w14:textId="77777777" w:rsidR="00E97EBD" w:rsidRPr="008B69B7" w:rsidRDefault="00E97EBD" w:rsidP="006C109A">
            <w:pPr>
              <w:pStyle w:val="TableText"/>
              <w:ind w:right="-108"/>
              <w:rPr>
                <w:sz w:val="20"/>
                <w:szCs w:val="20"/>
              </w:rPr>
            </w:pPr>
          </w:p>
        </w:tc>
        <w:tc>
          <w:tcPr>
            <w:tcW w:w="1134" w:type="dxa"/>
            <w:tcBorders>
              <w:top w:val="double" w:sz="4" w:space="0" w:color="auto"/>
              <w:bottom w:val="single" w:sz="4" w:space="0" w:color="auto"/>
            </w:tcBorders>
            <w:vAlign w:val="center"/>
          </w:tcPr>
          <w:p w14:paraId="6A84CF44" w14:textId="77777777" w:rsidR="00E97EBD" w:rsidRPr="008B69B7" w:rsidRDefault="00E97EBD" w:rsidP="0029492A">
            <w:pPr>
              <w:pStyle w:val="TableText"/>
              <w:spacing w:line="240" w:lineRule="auto"/>
              <w:contextualSpacing/>
              <w:rPr>
                <w:sz w:val="20"/>
                <w:szCs w:val="20"/>
              </w:rPr>
            </w:pPr>
            <w:r w:rsidRPr="008B69B7">
              <w:rPr>
                <w:sz w:val="20"/>
                <w:szCs w:val="20"/>
              </w:rPr>
              <w:t>Northern Territory</w:t>
            </w:r>
          </w:p>
        </w:tc>
        <w:tc>
          <w:tcPr>
            <w:tcW w:w="1134" w:type="dxa"/>
            <w:tcBorders>
              <w:top w:val="double" w:sz="4" w:space="0" w:color="auto"/>
              <w:bottom w:val="single" w:sz="4" w:space="0" w:color="auto"/>
            </w:tcBorders>
            <w:vAlign w:val="center"/>
          </w:tcPr>
          <w:p w14:paraId="04105E4A" w14:textId="77777777" w:rsidR="00E97EBD" w:rsidRPr="008B69B7" w:rsidRDefault="00E97EBD" w:rsidP="0029492A">
            <w:pPr>
              <w:pStyle w:val="TableText"/>
              <w:spacing w:line="240" w:lineRule="auto"/>
              <w:contextualSpacing/>
              <w:rPr>
                <w:sz w:val="20"/>
                <w:szCs w:val="20"/>
              </w:rPr>
            </w:pPr>
            <w:r w:rsidRPr="008B69B7">
              <w:rPr>
                <w:sz w:val="20"/>
                <w:szCs w:val="20"/>
              </w:rPr>
              <w:t>Western Australia</w:t>
            </w:r>
          </w:p>
        </w:tc>
        <w:tc>
          <w:tcPr>
            <w:tcW w:w="1275" w:type="dxa"/>
            <w:tcBorders>
              <w:top w:val="double" w:sz="4" w:space="0" w:color="auto"/>
              <w:bottom w:val="single" w:sz="4" w:space="0" w:color="auto"/>
            </w:tcBorders>
            <w:vAlign w:val="center"/>
          </w:tcPr>
          <w:p w14:paraId="02FDF6A8" w14:textId="77777777" w:rsidR="00E97EBD" w:rsidRPr="008B69B7" w:rsidRDefault="00E97EBD" w:rsidP="0029492A">
            <w:pPr>
              <w:pStyle w:val="TableText"/>
              <w:spacing w:line="240" w:lineRule="auto"/>
              <w:contextualSpacing/>
              <w:rPr>
                <w:sz w:val="20"/>
                <w:szCs w:val="20"/>
              </w:rPr>
            </w:pPr>
            <w:r w:rsidRPr="008B69B7">
              <w:rPr>
                <w:sz w:val="20"/>
                <w:szCs w:val="20"/>
              </w:rPr>
              <w:t>Queensland</w:t>
            </w:r>
          </w:p>
        </w:tc>
        <w:tc>
          <w:tcPr>
            <w:tcW w:w="1134" w:type="dxa"/>
            <w:tcBorders>
              <w:top w:val="double" w:sz="4" w:space="0" w:color="auto"/>
              <w:bottom w:val="single" w:sz="4" w:space="0" w:color="auto"/>
            </w:tcBorders>
            <w:vAlign w:val="center"/>
          </w:tcPr>
          <w:p w14:paraId="63EC403A" w14:textId="77777777" w:rsidR="00E97EBD" w:rsidRPr="008B69B7" w:rsidRDefault="00E97EBD" w:rsidP="0029492A">
            <w:pPr>
              <w:pStyle w:val="TableText"/>
              <w:spacing w:line="240" w:lineRule="auto"/>
              <w:contextualSpacing/>
              <w:rPr>
                <w:sz w:val="20"/>
                <w:szCs w:val="20"/>
              </w:rPr>
            </w:pPr>
            <w:r w:rsidRPr="008B69B7">
              <w:rPr>
                <w:sz w:val="20"/>
                <w:szCs w:val="20"/>
              </w:rPr>
              <w:t>New South Wales</w:t>
            </w:r>
          </w:p>
        </w:tc>
        <w:tc>
          <w:tcPr>
            <w:tcW w:w="993" w:type="dxa"/>
            <w:tcBorders>
              <w:top w:val="double" w:sz="4" w:space="0" w:color="auto"/>
              <w:bottom w:val="single" w:sz="4" w:space="0" w:color="auto"/>
            </w:tcBorders>
            <w:vAlign w:val="center"/>
          </w:tcPr>
          <w:p w14:paraId="7968EFEC" w14:textId="77777777" w:rsidR="00E97EBD" w:rsidRPr="008B69B7" w:rsidRDefault="00E97EBD" w:rsidP="0029492A">
            <w:pPr>
              <w:pStyle w:val="TableText"/>
              <w:spacing w:line="240" w:lineRule="auto"/>
              <w:contextualSpacing/>
              <w:rPr>
                <w:sz w:val="20"/>
                <w:szCs w:val="20"/>
              </w:rPr>
            </w:pPr>
            <w:r w:rsidRPr="008B69B7">
              <w:rPr>
                <w:sz w:val="20"/>
                <w:szCs w:val="20"/>
              </w:rPr>
              <w:t>South Australia</w:t>
            </w:r>
          </w:p>
        </w:tc>
      </w:tr>
      <w:tr w:rsidR="00E97EBD" w:rsidRPr="001633FD" w14:paraId="784F6880" w14:textId="77777777" w:rsidTr="006C109A">
        <w:trPr>
          <w:trHeight w:val="345"/>
        </w:trPr>
        <w:tc>
          <w:tcPr>
            <w:tcW w:w="2694" w:type="dxa"/>
            <w:tcBorders>
              <w:top w:val="single" w:sz="4" w:space="0" w:color="auto"/>
            </w:tcBorders>
            <w:vAlign w:val="center"/>
          </w:tcPr>
          <w:p w14:paraId="4713B12D" w14:textId="77777777" w:rsidR="00E97EBD" w:rsidRPr="008B69B7" w:rsidRDefault="00E97EBD" w:rsidP="006C109A">
            <w:pPr>
              <w:ind w:right="-108"/>
              <w:rPr>
                <w:sz w:val="20"/>
                <w:szCs w:val="20"/>
              </w:rPr>
            </w:pPr>
            <w:r w:rsidRPr="008B69B7">
              <w:rPr>
                <w:sz w:val="20"/>
                <w:szCs w:val="20"/>
              </w:rPr>
              <w:t xml:space="preserve">Speak Indigenous language      </w:t>
            </w:r>
          </w:p>
        </w:tc>
        <w:tc>
          <w:tcPr>
            <w:tcW w:w="1134" w:type="dxa"/>
            <w:tcBorders>
              <w:top w:val="single" w:sz="4" w:space="0" w:color="auto"/>
            </w:tcBorders>
            <w:vAlign w:val="center"/>
          </w:tcPr>
          <w:p w14:paraId="5980DA9F" w14:textId="77777777" w:rsidR="00E97EBD" w:rsidRPr="008B69B7" w:rsidRDefault="00E97EBD" w:rsidP="006C109A">
            <w:pPr>
              <w:ind w:right="113"/>
              <w:jc w:val="right"/>
              <w:rPr>
                <w:sz w:val="20"/>
                <w:szCs w:val="20"/>
              </w:rPr>
            </w:pPr>
            <w:r w:rsidRPr="008B69B7">
              <w:rPr>
                <w:sz w:val="20"/>
                <w:szCs w:val="20"/>
              </w:rPr>
              <w:t>62.6</w:t>
            </w:r>
          </w:p>
        </w:tc>
        <w:tc>
          <w:tcPr>
            <w:tcW w:w="1134" w:type="dxa"/>
            <w:tcBorders>
              <w:top w:val="single" w:sz="4" w:space="0" w:color="auto"/>
            </w:tcBorders>
            <w:vAlign w:val="center"/>
          </w:tcPr>
          <w:p w14:paraId="3F4FE658" w14:textId="77777777" w:rsidR="00E97EBD" w:rsidRPr="008B69B7" w:rsidRDefault="00E97EBD" w:rsidP="006C109A">
            <w:pPr>
              <w:ind w:right="113"/>
              <w:jc w:val="right"/>
              <w:rPr>
                <w:sz w:val="20"/>
                <w:szCs w:val="20"/>
              </w:rPr>
            </w:pPr>
            <w:r w:rsidRPr="008B69B7">
              <w:rPr>
                <w:sz w:val="20"/>
                <w:szCs w:val="20"/>
              </w:rPr>
              <w:t>22.6</w:t>
            </w:r>
          </w:p>
        </w:tc>
        <w:tc>
          <w:tcPr>
            <w:tcW w:w="1275" w:type="dxa"/>
            <w:tcBorders>
              <w:top w:val="single" w:sz="4" w:space="0" w:color="auto"/>
            </w:tcBorders>
            <w:vAlign w:val="center"/>
          </w:tcPr>
          <w:p w14:paraId="77449CFA" w14:textId="77777777" w:rsidR="00E97EBD" w:rsidRPr="008B69B7" w:rsidRDefault="00E97EBD" w:rsidP="006C109A">
            <w:pPr>
              <w:ind w:right="113"/>
              <w:jc w:val="right"/>
              <w:rPr>
                <w:sz w:val="20"/>
                <w:szCs w:val="20"/>
              </w:rPr>
            </w:pPr>
            <w:r w:rsidRPr="008B69B7">
              <w:rPr>
                <w:sz w:val="20"/>
                <w:szCs w:val="20"/>
              </w:rPr>
              <w:t>19.1</w:t>
            </w:r>
          </w:p>
        </w:tc>
        <w:tc>
          <w:tcPr>
            <w:tcW w:w="1134" w:type="dxa"/>
            <w:tcBorders>
              <w:top w:val="single" w:sz="4" w:space="0" w:color="auto"/>
            </w:tcBorders>
            <w:vAlign w:val="center"/>
          </w:tcPr>
          <w:p w14:paraId="1E4708F3" w14:textId="77777777" w:rsidR="00E97EBD" w:rsidRPr="008B69B7" w:rsidRDefault="00E97EBD" w:rsidP="006C109A">
            <w:pPr>
              <w:ind w:right="113"/>
              <w:jc w:val="right"/>
              <w:rPr>
                <w:sz w:val="20"/>
                <w:szCs w:val="20"/>
              </w:rPr>
            </w:pPr>
            <w:r w:rsidRPr="008B69B7">
              <w:rPr>
                <w:sz w:val="20"/>
                <w:szCs w:val="20"/>
              </w:rPr>
              <w:t>3.2</w:t>
            </w:r>
          </w:p>
        </w:tc>
        <w:tc>
          <w:tcPr>
            <w:tcW w:w="993" w:type="dxa"/>
            <w:tcBorders>
              <w:top w:val="single" w:sz="4" w:space="0" w:color="auto"/>
            </w:tcBorders>
            <w:vAlign w:val="center"/>
          </w:tcPr>
          <w:p w14:paraId="262F1BEF" w14:textId="77777777" w:rsidR="00E97EBD" w:rsidRPr="008B69B7" w:rsidRDefault="00E97EBD" w:rsidP="006C109A">
            <w:pPr>
              <w:ind w:right="113"/>
              <w:jc w:val="right"/>
              <w:rPr>
                <w:sz w:val="20"/>
                <w:szCs w:val="20"/>
              </w:rPr>
            </w:pPr>
            <w:r w:rsidRPr="008B69B7">
              <w:rPr>
                <w:sz w:val="20"/>
                <w:szCs w:val="20"/>
              </w:rPr>
              <w:t>25.9</w:t>
            </w:r>
          </w:p>
        </w:tc>
      </w:tr>
      <w:tr w:rsidR="00E97EBD" w:rsidRPr="001633FD" w14:paraId="716131DD" w14:textId="77777777" w:rsidTr="006C109A">
        <w:trPr>
          <w:trHeight w:val="345"/>
        </w:trPr>
        <w:tc>
          <w:tcPr>
            <w:tcW w:w="2694" w:type="dxa"/>
            <w:vAlign w:val="center"/>
          </w:tcPr>
          <w:p w14:paraId="1968FE0C" w14:textId="77777777" w:rsidR="00E97EBD" w:rsidRPr="008B69B7" w:rsidRDefault="00E97EBD" w:rsidP="006C109A">
            <w:pPr>
              <w:ind w:right="-108"/>
              <w:rPr>
                <w:sz w:val="20"/>
                <w:szCs w:val="20"/>
              </w:rPr>
            </w:pPr>
            <w:r w:rsidRPr="008B69B7">
              <w:rPr>
                <w:sz w:val="20"/>
                <w:szCs w:val="20"/>
              </w:rPr>
              <w:t xml:space="preserve">Identify with tribal group </w:t>
            </w:r>
          </w:p>
        </w:tc>
        <w:tc>
          <w:tcPr>
            <w:tcW w:w="1134" w:type="dxa"/>
            <w:vAlign w:val="center"/>
          </w:tcPr>
          <w:p w14:paraId="6BE6DC76" w14:textId="77777777" w:rsidR="00E97EBD" w:rsidRPr="008B69B7" w:rsidRDefault="00E97EBD" w:rsidP="006C109A">
            <w:pPr>
              <w:ind w:right="113"/>
              <w:jc w:val="right"/>
              <w:rPr>
                <w:sz w:val="20"/>
                <w:szCs w:val="20"/>
              </w:rPr>
            </w:pPr>
            <w:r w:rsidRPr="008B69B7">
              <w:rPr>
                <w:sz w:val="20"/>
                <w:szCs w:val="20"/>
              </w:rPr>
              <w:t>85.4</w:t>
            </w:r>
          </w:p>
        </w:tc>
        <w:tc>
          <w:tcPr>
            <w:tcW w:w="1134" w:type="dxa"/>
            <w:vAlign w:val="center"/>
          </w:tcPr>
          <w:p w14:paraId="12A48D5C" w14:textId="77777777" w:rsidR="00E97EBD" w:rsidRPr="008B69B7" w:rsidRDefault="00E97EBD" w:rsidP="006C109A">
            <w:pPr>
              <w:ind w:right="113"/>
              <w:jc w:val="right"/>
              <w:rPr>
                <w:sz w:val="20"/>
                <w:szCs w:val="20"/>
              </w:rPr>
            </w:pPr>
            <w:r w:rsidRPr="008B69B7">
              <w:rPr>
                <w:sz w:val="20"/>
                <w:szCs w:val="20"/>
              </w:rPr>
              <w:t>62.3</w:t>
            </w:r>
          </w:p>
        </w:tc>
        <w:tc>
          <w:tcPr>
            <w:tcW w:w="1275" w:type="dxa"/>
            <w:vAlign w:val="center"/>
          </w:tcPr>
          <w:p w14:paraId="4DCFCAE1" w14:textId="77777777" w:rsidR="00E97EBD" w:rsidRPr="008B69B7" w:rsidRDefault="00E97EBD" w:rsidP="006C109A">
            <w:pPr>
              <w:ind w:right="113"/>
              <w:jc w:val="right"/>
              <w:rPr>
                <w:sz w:val="20"/>
                <w:szCs w:val="20"/>
              </w:rPr>
            </w:pPr>
            <w:r w:rsidRPr="008B69B7">
              <w:rPr>
                <w:sz w:val="20"/>
                <w:szCs w:val="20"/>
              </w:rPr>
              <w:t>64.2</w:t>
            </w:r>
          </w:p>
        </w:tc>
        <w:tc>
          <w:tcPr>
            <w:tcW w:w="1134" w:type="dxa"/>
            <w:vAlign w:val="center"/>
          </w:tcPr>
          <w:p w14:paraId="37A6E604" w14:textId="77777777" w:rsidR="00E97EBD" w:rsidRPr="008B69B7" w:rsidRDefault="00E97EBD" w:rsidP="006C109A">
            <w:pPr>
              <w:ind w:right="113"/>
              <w:jc w:val="right"/>
              <w:rPr>
                <w:sz w:val="20"/>
                <w:szCs w:val="20"/>
              </w:rPr>
            </w:pPr>
            <w:r w:rsidRPr="008B69B7">
              <w:rPr>
                <w:sz w:val="20"/>
                <w:szCs w:val="20"/>
              </w:rPr>
              <w:t>51.7</w:t>
            </w:r>
          </w:p>
        </w:tc>
        <w:tc>
          <w:tcPr>
            <w:tcW w:w="993" w:type="dxa"/>
            <w:vAlign w:val="center"/>
          </w:tcPr>
          <w:p w14:paraId="18D2FDD9" w14:textId="77777777" w:rsidR="00E97EBD" w:rsidRPr="008B69B7" w:rsidRDefault="00E97EBD" w:rsidP="006C109A">
            <w:pPr>
              <w:ind w:right="113"/>
              <w:jc w:val="right"/>
              <w:rPr>
                <w:sz w:val="20"/>
                <w:szCs w:val="20"/>
              </w:rPr>
            </w:pPr>
            <w:r w:rsidRPr="008B69B7">
              <w:rPr>
                <w:sz w:val="20"/>
                <w:szCs w:val="20"/>
              </w:rPr>
              <w:t>72.7</w:t>
            </w:r>
          </w:p>
        </w:tc>
      </w:tr>
      <w:tr w:rsidR="00E97EBD" w:rsidRPr="001633FD" w14:paraId="71E43EB0" w14:textId="77777777" w:rsidTr="006C109A">
        <w:trPr>
          <w:trHeight w:val="345"/>
        </w:trPr>
        <w:tc>
          <w:tcPr>
            <w:tcW w:w="2694" w:type="dxa"/>
            <w:vAlign w:val="center"/>
          </w:tcPr>
          <w:p w14:paraId="38C2E8CA" w14:textId="77777777" w:rsidR="00E97EBD" w:rsidRPr="008B69B7" w:rsidRDefault="00E97EBD" w:rsidP="006C109A">
            <w:pPr>
              <w:ind w:right="-108"/>
              <w:rPr>
                <w:sz w:val="20"/>
                <w:szCs w:val="20"/>
              </w:rPr>
            </w:pPr>
            <w:r w:rsidRPr="008B69B7">
              <w:rPr>
                <w:sz w:val="20"/>
                <w:szCs w:val="20"/>
              </w:rPr>
              <w:t xml:space="preserve">Live on homelands                        </w:t>
            </w:r>
          </w:p>
        </w:tc>
        <w:tc>
          <w:tcPr>
            <w:tcW w:w="1134" w:type="dxa"/>
            <w:vAlign w:val="center"/>
          </w:tcPr>
          <w:p w14:paraId="286970D0" w14:textId="77777777" w:rsidR="00E97EBD" w:rsidRPr="008B69B7" w:rsidRDefault="00E97EBD" w:rsidP="006C109A">
            <w:pPr>
              <w:ind w:right="113"/>
              <w:jc w:val="right"/>
              <w:rPr>
                <w:sz w:val="20"/>
                <w:szCs w:val="20"/>
              </w:rPr>
            </w:pPr>
            <w:r w:rsidRPr="008B69B7">
              <w:rPr>
                <w:sz w:val="20"/>
                <w:szCs w:val="20"/>
              </w:rPr>
              <w:t>40.5</w:t>
            </w:r>
          </w:p>
        </w:tc>
        <w:tc>
          <w:tcPr>
            <w:tcW w:w="1134" w:type="dxa"/>
            <w:vAlign w:val="center"/>
          </w:tcPr>
          <w:p w14:paraId="7019B6D3" w14:textId="77777777" w:rsidR="00E97EBD" w:rsidRPr="008B69B7" w:rsidRDefault="00E97EBD" w:rsidP="006C109A">
            <w:pPr>
              <w:ind w:right="113"/>
              <w:jc w:val="right"/>
              <w:rPr>
                <w:sz w:val="20"/>
                <w:szCs w:val="20"/>
              </w:rPr>
            </w:pPr>
            <w:r w:rsidRPr="008B69B7">
              <w:rPr>
                <w:sz w:val="20"/>
                <w:szCs w:val="20"/>
              </w:rPr>
              <w:t>29.5</w:t>
            </w:r>
          </w:p>
        </w:tc>
        <w:tc>
          <w:tcPr>
            <w:tcW w:w="1275" w:type="dxa"/>
            <w:vAlign w:val="center"/>
          </w:tcPr>
          <w:p w14:paraId="25879FA2" w14:textId="77777777" w:rsidR="00E97EBD" w:rsidRPr="008B69B7" w:rsidRDefault="00E97EBD" w:rsidP="006C109A">
            <w:pPr>
              <w:ind w:right="113"/>
              <w:jc w:val="right"/>
              <w:rPr>
                <w:sz w:val="20"/>
                <w:szCs w:val="20"/>
              </w:rPr>
            </w:pPr>
            <w:r w:rsidRPr="008B69B7">
              <w:rPr>
                <w:sz w:val="20"/>
                <w:szCs w:val="20"/>
              </w:rPr>
              <w:t>16.7</w:t>
            </w:r>
          </w:p>
        </w:tc>
        <w:tc>
          <w:tcPr>
            <w:tcW w:w="1134" w:type="dxa"/>
            <w:vAlign w:val="center"/>
          </w:tcPr>
          <w:p w14:paraId="5F03E1BE" w14:textId="77777777" w:rsidR="00E97EBD" w:rsidRPr="008B69B7" w:rsidRDefault="00E97EBD" w:rsidP="006C109A">
            <w:pPr>
              <w:ind w:right="113"/>
              <w:jc w:val="right"/>
              <w:rPr>
                <w:sz w:val="20"/>
                <w:szCs w:val="20"/>
              </w:rPr>
            </w:pPr>
            <w:r w:rsidRPr="008B69B7">
              <w:rPr>
                <w:sz w:val="20"/>
                <w:szCs w:val="20"/>
              </w:rPr>
              <w:t>29.6</w:t>
            </w:r>
          </w:p>
        </w:tc>
        <w:tc>
          <w:tcPr>
            <w:tcW w:w="993" w:type="dxa"/>
            <w:vAlign w:val="center"/>
          </w:tcPr>
          <w:p w14:paraId="32F81256" w14:textId="77777777" w:rsidR="00E97EBD" w:rsidRPr="008B69B7" w:rsidRDefault="00E97EBD" w:rsidP="006C109A">
            <w:pPr>
              <w:ind w:right="113"/>
              <w:jc w:val="right"/>
              <w:rPr>
                <w:sz w:val="20"/>
                <w:szCs w:val="20"/>
              </w:rPr>
            </w:pPr>
            <w:r w:rsidRPr="008B69B7">
              <w:rPr>
                <w:sz w:val="20"/>
                <w:szCs w:val="20"/>
              </w:rPr>
              <w:t>17.9</w:t>
            </w:r>
          </w:p>
        </w:tc>
      </w:tr>
      <w:tr w:rsidR="00E97EBD" w:rsidRPr="008847EB" w14:paraId="4BA2FC09" w14:textId="77777777" w:rsidTr="006C109A">
        <w:trPr>
          <w:trHeight w:val="345"/>
        </w:trPr>
        <w:tc>
          <w:tcPr>
            <w:tcW w:w="2694" w:type="dxa"/>
            <w:vAlign w:val="center"/>
          </w:tcPr>
          <w:p w14:paraId="5C45D0C9" w14:textId="77777777" w:rsidR="00E97EBD" w:rsidRPr="008B69B7" w:rsidRDefault="00E97EBD" w:rsidP="006C109A">
            <w:pPr>
              <w:ind w:right="-108"/>
              <w:rPr>
                <w:sz w:val="20"/>
                <w:szCs w:val="20"/>
              </w:rPr>
            </w:pPr>
            <w:r w:rsidRPr="008B69B7">
              <w:rPr>
                <w:sz w:val="20"/>
                <w:szCs w:val="20"/>
              </w:rPr>
              <w:t xml:space="preserve">Involved in cultural events   </w:t>
            </w:r>
          </w:p>
        </w:tc>
        <w:tc>
          <w:tcPr>
            <w:tcW w:w="1134" w:type="dxa"/>
            <w:vAlign w:val="center"/>
          </w:tcPr>
          <w:p w14:paraId="7D6789C1" w14:textId="77777777" w:rsidR="00E97EBD" w:rsidRPr="008B69B7" w:rsidRDefault="00E97EBD" w:rsidP="006C109A">
            <w:pPr>
              <w:ind w:right="113"/>
              <w:jc w:val="right"/>
              <w:rPr>
                <w:sz w:val="20"/>
                <w:szCs w:val="20"/>
              </w:rPr>
            </w:pPr>
            <w:r w:rsidRPr="008B69B7">
              <w:rPr>
                <w:sz w:val="20"/>
                <w:szCs w:val="20"/>
              </w:rPr>
              <w:t>81.3</w:t>
            </w:r>
          </w:p>
        </w:tc>
        <w:tc>
          <w:tcPr>
            <w:tcW w:w="1134" w:type="dxa"/>
            <w:vAlign w:val="center"/>
          </w:tcPr>
          <w:p w14:paraId="081CB00C" w14:textId="77777777" w:rsidR="00E97EBD" w:rsidRPr="008B69B7" w:rsidRDefault="00E97EBD" w:rsidP="006C109A">
            <w:pPr>
              <w:ind w:right="113"/>
              <w:jc w:val="right"/>
              <w:rPr>
                <w:sz w:val="20"/>
                <w:szCs w:val="20"/>
              </w:rPr>
            </w:pPr>
            <w:r w:rsidRPr="008B69B7">
              <w:rPr>
                <w:sz w:val="20"/>
                <w:szCs w:val="20"/>
              </w:rPr>
              <w:t>70.0</w:t>
            </w:r>
          </w:p>
        </w:tc>
        <w:tc>
          <w:tcPr>
            <w:tcW w:w="1275" w:type="dxa"/>
            <w:vAlign w:val="center"/>
          </w:tcPr>
          <w:p w14:paraId="4F9A6472" w14:textId="77777777" w:rsidR="00E97EBD" w:rsidRPr="008B69B7" w:rsidRDefault="00E97EBD" w:rsidP="006C109A">
            <w:pPr>
              <w:ind w:right="113"/>
              <w:jc w:val="right"/>
              <w:rPr>
                <w:sz w:val="20"/>
                <w:szCs w:val="20"/>
              </w:rPr>
            </w:pPr>
            <w:r w:rsidRPr="008B69B7">
              <w:rPr>
                <w:sz w:val="20"/>
                <w:szCs w:val="20"/>
              </w:rPr>
              <w:t>65.2</w:t>
            </w:r>
          </w:p>
        </w:tc>
        <w:tc>
          <w:tcPr>
            <w:tcW w:w="1134" w:type="dxa"/>
            <w:vAlign w:val="center"/>
          </w:tcPr>
          <w:p w14:paraId="710C4A12" w14:textId="77777777" w:rsidR="00E97EBD" w:rsidRPr="008B69B7" w:rsidRDefault="00E97EBD" w:rsidP="006C109A">
            <w:pPr>
              <w:ind w:right="113"/>
              <w:jc w:val="right"/>
              <w:rPr>
                <w:sz w:val="20"/>
                <w:szCs w:val="20"/>
              </w:rPr>
            </w:pPr>
            <w:r w:rsidRPr="008B69B7">
              <w:rPr>
                <w:sz w:val="20"/>
                <w:szCs w:val="20"/>
              </w:rPr>
              <w:t>55.1</w:t>
            </w:r>
          </w:p>
        </w:tc>
        <w:tc>
          <w:tcPr>
            <w:tcW w:w="993" w:type="dxa"/>
            <w:vAlign w:val="center"/>
          </w:tcPr>
          <w:p w14:paraId="7F827A83" w14:textId="77777777" w:rsidR="00E97EBD" w:rsidRPr="008B69B7" w:rsidRDefault="00E97EBD" w:rsidP="006C109A">
            <w:pPr>
              <w:ind w:right="113"/>
              <w:jc w:val="right"/>
              <w:rPr>
                <w:sz w:val="20"/>
                <w:szCs w:val="20"/>
              </w:rPr>
            </w:pPr>
            <w:r w:rsidRPr="008B69B7">
              <w:rPr>
                <w:sz w:val="20"/>
                <w:szCs w:val="20"/>
              </w:rPr>
              <w:t>65.0</w:t>
            </w:r>
          </w:p>
        </w:tc>
      </w:tr>
      <w:tr w:rsidR="00E97EBD" w:rsidRPr="001633FD" w14:paraId="5867B3AF" w14:textId="77777777" w:rsidTr="006C109A">
        <w:trPr>
          <w:trHeight w:val="345"/>
        </w:trPr>
        <w:tc>
          <w:tcPr>
            <w:tcW w:w="2694" w:type="dxa"/>
            <w:vAlign w:val="center"/>
          </w:tcPr>
          <w:p w14:paraId="46ABB644" w14:textId="77777777" w:rsidR="00E97EBD" w:rsidRPr="008B69B7" w:rsidRDefault="00E97EBD" w:rsidP="006C109A">
            <w:pPr>
              <w:ind w:right="-108"/>
              <w:rPr>
                <w:sz w:val="20"/>
                <w:szCs w:val="20"/>
              </w:rPr>
            </w:pPr>
            <w:r w:rsidRPr="008B69B7">
              <w:rPr>
                <w:sz w:val="20"/>
                <w:szCs w:val="20"/>
              </w:rPr>
              <w:t>Ha</w:t>
            </w:r>
            <w:r>
              <w:rPr>
                <w:sz w:val="20"/>
                <w:szCs w:val="20"/>
              </w:rPr>
              <w:t>ve</w:t>
            </w:r>
            <w:r w:rsidRPr="008B69B7">
              <w:rPr>
                <w:sz w:val="20"/>
                <w:szCs w:val="20"/>
              </w:rPr>
              <w:t xml:space="preserve"> crisis support                       </w:t>
            </w:r>
          </w:p>
        </w:tc>
        <w:tc>
          <w:tcPr>
            <w:tcW w:w="1134" w:type="dxa"/>
            <w:vAlign w:val="center"/>
          </w:tcPr>
          <w:p w14:paraId="447C361B" w14:textId="77777777" w:rsidR="00E97EBD" w:rsidRPr="008B69B7" w:rsidRDefault="00E97EBD" w:rsidP="006C109A">
            <w:pPr>
              <w:ind w:right="113"/>
              <w:jc w:val="right"/>
              <w:rPr>
                <w:sz w:val="20"/>
                <w:szCs w:val="20"/>
              </w:rPr>
            </w:pPr>
            <w:r w:rsidRPr="008B69B7">
              <w:rPr>
                <w:sz w:val="20"/>
                <w:szCs w:val="20"/>
              </w:rPr>
              <w:t>85.2</w:t>
            </w:r>
          </w:p>
        </w:tc>
        <w:tc>
          <w:tcPr>
            <w:tcW w:w="1134" w:type="dxa"/>
            <w:vAlign w:val="center"/>
          </w:tcPr>
          <w:p w14:paraId="6C3476C2" w14:textId="77777777" w:rsidR="00E97EBD" w:rsidRPr="008B69B7" w:rsidRDefault="00E97EBD" w:rsidP="006C109A">
            <w:pPr>
              <w:ind w:right="113"/>
              <w:jc w:val="right"/>
              <w:rPr>
                <w:sz w:val="20"/>
                <w:szCs w:val="20"/>
              </w:rPr>
            </w:pPr>
            <w:r w:rsidRPr="008B69B7">
              <w:rPr>
                <w:sz w:val="20"/>
                <w:szCs w:val="20"/>
              </w:rPr>
              <w:t>90.1</w:t>
            </w:r>
          </w:p>
        </w:tc>
        <w:tc>
          <w:tcPr>
            <w:tcW w:w="1275" w:type="dxa"/>
            <w:vAlign w:val="center"/>
          </w:tcPr>
          <w:p w14:paraId="33BCDF39" w14:textId="77777777" w:rsidR="00E97EBD" w:rsidRPr="008B69B7" w:rsidRDefault="00E97EBD" w:rsidP="006C109A">
            <w:pPr>
              <w:ind w:right="113"/>
              <w:jc w:val="right"/>
              <w:rPr>
                <w:sz w:val="20"/>
                <w:szCs w:val="20"/>
              </w:rPr>
            </w:pPr>
            <w:r w:rsidRPr="008B69B7">
              <w:rPr>
                <w:sz w:val="20"/>
                <w:szCs w:val="20"/>
              </w:rPr>
              <w:t>84.6</w:t>
            </w:r>
          </w:p>
        </w:tc>
        <w:tc>
          <w:tcPr>
            <w:tcW w:w="1134" w:type="dxa"/>
            <w:vAlign w:val="center"/>
          </w:tcPr>
          <w:p w14:paraId="6FCC532A" w14:textId="77777777" w:rsidR="00E97EBD" w:rsidRPr="008B69B7" w:rsidRDefault="00E97EBD" w:rsidP="006C109A">
            <w:pPr>
              <w:ind w:right="113"/>
              <w:jc w:val="right"/>
              <w:rPr>
                <w:sz w:val="20"/>
                <w:szCs w:val="20"/>
              </w:rPr>
            </w:pPr>
            <w:r w:rsidRPr="008B69B7">
              <w:rPr>
                <w:sz w:val="20"/>
                <w:szCs w:val="20"/>
              </w:rPr>
              <w:t>92.0</w:t>
            </w:r>
          </w:p>
        </w:tc>
        <w:tc>
          <w:tcPr>
            <w:tcW w:w="993" w:type="dxa"/>
            <w:vAlign w:val="center"/>
          </w:tcPr>
          <w:p w14:paraId="0C9F5AB6" w14:textId="77777777" w:rsidR="00E97EBD" w:rsidRPr="008B69B7" w:rsidRDefault="00E97EBD" w:rsidP="006C109A">
            <w:pPr>
              <w:ind w:right="113"/>
              <w:jc w:val="right"/>
              <w:rPr>
                <w:sz w:val="20"/>
                <w:szCs w:val="20"/>
              </w:rPr>
            </w:pPr>
            <w:r w:rsidRPr="008B69B7">
              <w:rPr>
                <w:sz w:val="20"/>
                <w:szCs w:val="20"/>
              </w:rPr>
              <w:t>90.8</w:t>
            </w:r>
          </w:p>
        </w:tc>
      </w:tr>
      <w:tr w:rsidR="00E97EBD" w:rsidRPr="001633FD" w14:paraId="68B9E8C8" w14:textId="77777777" w:rsidTr="006C109A">
        <w:trPr>
          <w:trHeight w:hRule="exact" w:val="389"/>
        </w:trPr>
        <w:tc>
          <w:tcPr>
            <w:tcW w:w="2694" w:type="dxa"/>
            <w:tcBorders>
              <w:bottom w:val="single" w:sz="4" w:space="0" w:color="auto"/>
            </w:tcBorders>
            <w:vAlign w:val="center"/>
          </w:tcPr>
          <w:p w14:paraId="1D6529ED" w14:textId="77777777" w:rsidR="00E97EBD" w:rsidRPr="008B69B7" w:rsidRDefault="00E97EBD" w:rsidP="006C109A">
            <w:pPr>
              <w:ind w:right="-108"/>
              <w:rPr>
                <w:sz w:val="20"/>
                <w:szCs w:val="20"/>
              </w:rPr>
            </w:pPr>
            <w:r w:rsidRPr="008B69B7">
              <w:rPr>
                <w:sz w:val="20"/>
                <w:szCs w:val="20"/>
              </w:rPr>
              <w:t xml:space="preserve">Removed from natural family                                 </w:t>
            </w:r>
          </w:p>
        </w:tc>
        <w:tc>
          <w:tcPr>
            <w:tcW w:w="1134" w:type="dxa"/>
            <w:tcBorders>
              <w:bottom w:val="single" w:sz="4" w:space="0" w:color="auto"/>
            </w:tcBorders>
            <w:vAlign w:val="center"/>
          </w:tcPr>
          <w:p w14:paraId="4D062B69" w14:textId="77777777" w:rsidR="00E97EBD" w:rsidRPr="008B69B7" w:rsidRDefault="00E97EBD" w:rsidP="006C109A">
            <w:pPr>
              <w:ind w:right="113"/>
              <w:jc w:val="right"/>
              <w:rPr>
                <w:sz w:val="20"/>
                <w:szCs w:val="20"/>
              </w:rPr>
            </w:pPr>
            <w:r w:rsidRPr="008B69B7">
              <w:rPr>
                <w:sz w:val="20"/>
                <w:szCs w:val="20"/>
              </w:rPr>
              <w:t>4.8</w:t>
            </w:r>
          </w:p>
        </w:tc>
        <w:tc>
          <w:tcPr>
            <w:tcW w:w="1134" w:type="dxa"/>
            <w:tcBorders>
              <w:bottom w:val="single" w:sz="4" w:space="0" w:color="auto"/>
            </w:tcBorders>
            <w:vAlign w:val="center"/>
          </w:tcPr>
          <w:p w14:paraId="00BC2B79" w14:textId="77777777" w:rsidR="00E97EBD" w:rsidRPr="008B69B7" w:rsidRDefault="00E97EBD" w:rsidP="006C109A">
            <w:pPr>
              <w:ind w:right="113"/>
              <w:jc w:val="right"/>
              <w:rPr>
                <w:sz w:val="20"/>
                <w:szCs w:val="20"/>
              </w:rPr>
            </w:pPr>
            <w:r w:rsidRPr="008B69B7">
              <w:rPr>
                <w:sz w:val="20"/>
                <w:szCs w:val="20"/>
              </w:rPr>
              <w:t>11.0</w:t>
            </w:r>
          </w:p>
        </w:tc>
        <w:tc>
          <w:tcPr>
            <w:tcW w:w="1275" w:type="dxa"/>
            <w:tcBorders>
              <w:bottom w:val="single" w:sz="4" w:space="0" w:color="auto"/>
            </w:tcBorders>
            <w:vAlign w:val="center"/>
          </w:tcPr>
          <w:p w14:paraId="4DDC69A5" w14:textId="77777777" w:rsidR="00E97EBD" w:rsidRPr="008B69B7" w:rsidRDefault="00E97EBD" w:rsidP="006C109A">
            <w:pPr>
              <w:ind w:right="113"/>
              <w:jc w:val="right"/>
              <w:rPr>
                <w:sz w:val="20"/>
                <w:szCs w:val="20"/>
              </w:rPr>
            </w:pPr>
            <w:r w:rsidRPr="008B69B7">
              <w:rPr>
                <w:sz w:val="20"/>
                <w:szCs w:val="20"/>
              </w:rPr>
              <w:t>7.2</w:t>
            </w:r>
          </w:p>
        </w:tc>
        <w:tc>
          <w:tcPr>
            <w:tcW w:w="1134" w:type="dxa"/>
            <w:tcBorders>
              <w:bottom w:val="single" w:sz="4" w:space="0" w:color="auto"/>
            </w:tcBorders>
            <w:vAlign w:val="center"/>
          </w:tcPr>
          <w:p w14:paraId="1BCDAA9F" w14:textId="77777777" w:rsidR="00E97EBD" w:rsidRPr="008B69B7" w:rsidRDefault="00E97EBD" w:rsidP="006C109A">
            <w:pPr>
              <w:ind w:right="113"/>
              <w:jc w:val="right"/>
              <w:rPr>
                <w:sz w:val="20"/>
                <w:szCs w:val="20"/>
              </w:rPr>
            </w:pPr>
            <w:r w:rsidRPr="008B69B7">
              <w:rPr>
                <w:sz w:val="20"/>
                <w:szCs w:val="20"/>
              </w:rPr>
              <w:t>7.7</w:t>
            </w:r>
          </w:p>
        </w:tc>
        <w:tc>
          <w:tcPr>
            <w:tcW w:w="993" w:type="dxa"/>
            <w:tcBorders>
              <w:bottom w:val="single" w:sz="4" w:space="0" w:color="auto"/>
            </w:tcBorders>
            <w:vAlign w:val="center"/>
          </w:tcPr>
          <w:p w14:paraId="3C17663C" w14:textId="77777777" w:rsidR="00E97EBD" w:rsidRPr="008B69B7" w:rsidRDefault="00E97EBD" w:rsidP="006C109A">
            <w:pPr>
              <w:ind w:right="113"/>
              <w:jc w:val="right"/>
              <w:rPr>
                <w:sz w:val="20"/>
                <w:szCs w:val="20"/>
              </w:rPr>
            </w:pPr>
            <w:r w:rsidRPr="008B69B7">
              <w:rPr>
                <w:sz w:val="20"/>
                <w:szCs w:val="20"/>
              </w:rPr>
              <w:t>11.9</w:t>
            </w:r>
          </w:p>
        </w:tc>
      </w:tr>
    </w:tbl>
    <w:p w14:paraId="3F242A75" w14:textId="77777777" w:rsidR="00E97EBD" w:rsidRDefault="00E97EBD" w:rsidP="00672B3D">
      <w:pPr>
        <w:pStyle w:val="TableNotes"/>
        <w:ind w:right="74"/>
        <w:rPr>
          <w:sz w:val="20"/>
          <w:szCs w:val="20"/>
        </w:rPr>
      </w:pPr>
      <w:r w:rsidRPr="008B69B7">
        <w:rPr>
          <w:i/>
          <w:iCs/>
          <w:sz w:val="20"/>
          <w:szCs w:val="20"/>
        </w:rPr>
        <w:t>Source:</w:t>
      </w:r>
      <w:r w:rsidRPr="008B69B7">
        <w:rPr>
          <w:sz w:val="20"/>
          <w:szCs w:val="20"/>
        </w:rPr>
        <w:t xml:space="preserve"> National Aboriginal and Torres Strait Islander Social Survey (NATSISS), 2008.</w:t>
      </w:r>
    </w:p>
    <w:p w14:paraId="27FC3D32" w14:textId="77777777" w:rsidR="00372FF3" w:rsidRDefault="00372FF3" w:rsidP="00E97EBD">
      <w:pPr>
        <w:pStyle w:val="TableNotes"/>
        <w:rPr>
          <w:sz w:val="24"/>
          <w:szCs w:val="24"/>
        </w:rPr>
      </w:pPr>
    </w:p>
    <w:p w14:paraId="0C46AF84" w14:textId="77777777" w:rsidR="00372FF3" w:rsidRDefault="00372FF3" w:rsidP="00372FF3">
      <w:pPr>
        <w:spacing w:after="120"/>
        <w:ind w:firstLine="204"/>
      </w:pPr>
    </w:p>
    <w:p w14:paraId="2EAA3AFB" w14:textId="77777777" w:rsidR="00E97EBD" w:rsidRPr="00E97EBD" w:rsidRDefault="00E97EBD" w:rsidP="00E97EBD">
      <w:pPr>
        <w:pStyle w:val="Heading1"/>
      </w:pPr>
      <w:r w:rsidRPr="00E97EBD">
        <w:t>3. The perception of SEAM within the context of the NTER</w:t>
      </w:r>
    </w:p>
    <w:p w14:paraId="11F8ACBE" w14:textId="77777777" w:rsidR="00E334CC" w:rsidRDefault="00E97EBD" w:rsidP="00E334CC">
      <w:pPr>
        <w:spacing w:after="120" w:line="360" w:lineRule="auto"/>
        <w:ind w:firstLine="204"/>
        <w:jc w:val="both"/>
      </w:pPr>
      <w:r w:rsidRPr="00E97EBD">
        <w:t>The impact of the School Enrolment and Attendance through We</w:t>
      </w:r>
      <w:r w:rsidR="007277E2">
        <w:t>lfare Reform Measure (SEAM) on participation in schooling</w:t>
      </w:r>
      <w:r w:rsidRPr="00E97EBD">
        <w:t xml:space="preserve">, on which we focus in this paper, can only be understood against the backdrop of the controversial Northern Territory Emergency Response (NTER) initiated </w:t>
      </w:r>
      <w:r w:rsidR="00B76E8E">
        <w:t xml:space="preserve">after </w:t>
      </w:r>
      <w:r w:rsidR="00672B3D">
        <w:t>parliamentary</w:t>
      </w:r>
      <w:r w:rsidR="00B76E8E">
        <w:t xml:space="preserve"> approval in August 2007</w:t>
      </w:r>
      <w:r w:rsidR="00716476">
        <w:t>.</w:t>
      </w:r>
      <w:r w:rsidRPr="00E97EBD">
        <w:t xml:space="preserve"> SEAM was not </w:t>
      </w:r>
      <w:r w:rsidR="00410A9A">
        <w:t xml:space="preserve">officially </w:t>
      </w:r>
      <w:r w:rsidR="00967E82">
        <w:t xml:space="preserve">a </w:t>
      </w:r>
      <w:r w:rsidRPr="00E97EBD">
        <w:t>part of the NTER</w:t>
      </w:r>
      <w:r w:rsidR="00716476">
        <w:t>,</w:t>
      </w:r>
      <w:r w:rsidRPr="00E97EBD">
        <w:t xml:space="preserve"> but it was the operational context of </w:t>
      </w:r>
      <w:r w:rsidR="00B76E8E">
        <w:t xml:space="preserve">the </w:t>
      </w:r>
      <w:r w:rsidRPr="00E97EBD">
        <w:t xml:space="preserve">NTER that lent </w:t>
      </w:r>
      <w:proofErr w:type="gramStart"/>
      <w:r w:rsidRPr="00E97EBD">
        <w:t>SEAM</w:t>
      </w:r>
      <w:proofErr w:type="gramEnd"/>
      <w:r w:rsidRPr="00E97EBD">
        <w:t xml:space="preserve"> much of its initial credibility</w:t>
      </w:r>
      <w:r w:rsidR="00824A50">
        <w:t xml:space="preserve"> and effectiveness</w:t>
      </w:r>
      <w:r w:rsidRPr="00E97EBD">
        <w:t xml:space="preserve">. </w:t>
      </w:r>
      <w:r w:rsidR="00716476">
        <w:t>T</w:t>
      </w:r>
      <w:r w:rsidRPr="00E97EBD">
        <w:t xml:space="preserve">he </w:t>
      </w:r>
      <w:r w:rsidR="00D45A2B">
        <w:t>c</w:t>
      </w:r>
      <w:r w:rsidR="00022A0A">
        <w:t xml:space="preserve">onservative, </w:t>
      </w:r>
      <w:r w:rsidRPr="00E97EBD">
        <w:t xml:space="preserve">Liberal-National Coalition government </w:t>
      </w:r>
      <w:r w:rsidR="00716476">
        <w:t>led by</w:t>
      </w:r>
      <w:r w:rsidR="00716476" w:rsidRPr="00E97EBD">
        <w:t xml:space="preserve"> </w:t>
      </w:r>
      <w:r w:rsidRPr="00E97EBD">
        <w:t xml:space="preserve">John Howard </w:t>
      </w:r>
      <w:r w:rsidR="00716476" w:rsidRPr="00E97EBD">
        <w:t xml:space="preserve">implemented </w:t>
      </w:r>
      <w:r w:rsidR="007277E2">
        <w:t xml:space="preserve">the </w:t>
      </w:r>
      <w:r w:rsidR="00716476">
        <w:t xml:space="preserve">NTER </w:t>
      </w:r>
      <w:r w:rsidRPr="00E97EBD">
        <w:t xml:space="preserve">in 2007, during the lead-up to </w:t>
      </w:r>
      <w:r w:rsidR="00824A50">
        <w:t>a</w:t>
      </w:r>
      <w:hyperlink r:id="rId11" w:tooltip="Australian federal election, 2007" w:history="1">
        <w:r w:rsidRPr="00E97EBD">
          <w:t xml:space="preserve"> federal election</w:t>
        </w:r>
      </w:hyperlink>
      <w:proofErr w:type="gramStart"/>
      <w:r w:rsidR="005E46ED">
        <w:t>,</w:t>
      </w:r>
      <w:proofErr w:type="gramEnd"/>
      <w:r w:rsidR="005E46ED">
        <w:t xml:space="preserve"> in</w:t>
      </w:r>
      <w:r w:rsidR="005E46ED" w:rsidRPr="005E46ED">
        <w:t xml:space="preserve"> </w:t>
      </w:r>
      <w:r w:rsidR="005E46ED" w:rsidRPr="00E97EBD">
        <w:t>response to allegations of widespread child neglect and sexual abuse in Indigenous communities</w:t>
      </w:r>
      <w:r w:rsidR="005E46ED">
        <w:t xml:space="preserve"> set out in</w:t>
      </w:r>
      <w:r w:rsidR="005E46ED" w:rsidRPr="00F9009D">
        <w:t xml:space="preserve"> </w:t>
      </w:r>
      <w:r w:rsidR="005E46ED">
        <w:t>the r</w:t>
      </w:r>
      <w:r w:rsidR="005E46ED" w:rsidRPr="00F9009D">
        <w:t xml:space="preserve">eport of </w:t>
      </w:r>
      <w:r w:rsidR="005E46ED">
        <w:t>a special</w:t>
      </w:r>
      <w:r w:rsidR="005E46ED" w:rsidRPr="00F9009D">
        <w:t xml:space="preserve"> Board of Inquiry</w:t>
      </w:r>
      <w:r w:rsidR="005E46ED">
        <w:t xml:space="preserve"> entitled </w:t>
      </w:r>
      <w:r w:rsidR="005E46ED" w:rsidRPr="00F9009D">
        <w:rPr>
          <w:i/>
          <w:iCs/>
        </w:rPr>
        <w:t>Little Children are Sacred</w:t>
      </w:r>
      <w:r w:rsidR="005E46ED" w:rsidRPr="00F9009D">
        <w:t xml:space="preserve"> </w:t>
      </w:r>
      <w:r w:rsidR="005E46ED">
        <w:t>(</w:t>
      </w:r>
      <w:r w:rsidR="005E46ED" w:rsidRPr="00E97EBD">
        <w:t>Wild and Anderson</w:t>
      </w:r>
      <w:r w:rsidR="005E46ED">
        <w:t>,</w:t>
      </w:r>
      <w:r w:rsidR="005E46ED" w:rsidRPr="00E97EBD">
        <w:t xml:space="preserve"> 2007).</w:t>
      </w:r>
      <w:r w:rsidRPr="00E97EBD">
        <w:t xml:space="preserve"> The initial action involved an increased presence of police and military </w:t>
      </w:r>
      <w:r w:rsidR="007277E2">
        <w:t>units in the Northern Territory</w:t>
      </w:r>
      <w:r w:rsidR="00672B3D">
        <w:t>, a show of force that</w:t>
      </w:r>
      <w:r w:rsidR="00672B3D" w:rsidRPr="00672B3D">
        <w:t xml:space="preserve"> would not </w:t>
      </w:r>
      <w:r w:rsidR="00672B3D" w:rsidRPr="00672B3D">
        <w:lastRenderedPageBreak/>
        <w:t>have been constitutionally possible in an Australian state</w:t>
      </w:r>
      <w:r w:rsidR="007277E2">
        <w:t>.</w:t>
      </w:r>
      <w:r w:rsidR="00967E82" w:rsidRPr="00E97EBD">
        <w:rPr>
          <w:vertAlign w:val="superscript"/>
        </w:rPr>
        <w:footnoteReference w:id="10"/>
      </w:r>
      <w:r w:rsidR="005E46ED">
        <w:t xml:space="preserve"> </w:t>
      </w:r>
      <w:r w:rsidR="007277E2">
        <w:t xml:space="preserve">It </w:t>
      </w:r>
      <w:r w:rsidRPr="00E97EBD">
        <w:t xml:space="preserve">imposed government control </w:t>
      </w:r>
      <w:r w:rsidR="00D45A2B" w:rsidRPr="00E97EBD">
        <w:t>o</w:t>
      </w:r>
      <w:r w:rsidR="00672B3D">
        <w:t>n</w:t>
      </w:r>
      <w:r w:rsidR="00D45A2B" w:rsidRPr="00E97EBD">
        <w:t xml:space="preserve"> </w:t>
      </w:r>
      <w:r w:rsidRPr="00E97EBD">
        <w:t>Indigenous communities for a five-year period</w:t>
      </w:r>
      <w:r w:rsidR="005E46ED">
        <w:t>,</w:t>
      </w:r>
      <w:r w:rsidRPr="00E97EBD">
        <w:t xml:space="preserve"> and introduced a range of measures aimed at addressing the abuse of children and women, as well as narrowing the gaps in economic opportunity between Indigenous and non-Indigenous Australians. </w:t>
      </w:r>
    </w:p>
    <w:p w14:paraId="7C57C5A3" w14:textId="77777777" w:rsidR="00E334CC" w:rsidRDefault="00E97EBD" w:rsidP="00E334CC">
      <w:pPr>
        <w:spacing w:after="120" w:line="360" w:lineRule="auto"/>
        <w:ind w:firstLine="204"/>
        <w:jc w:val="both"/>
      </w:pPr>
      <w:r w:rsidRPr="00E97EBD">
        <w:t>In addition to the deployment of police and military units, the Intervention included a set of racially targeted measures, which required temporary suspension of the Racial Discrimination Act</w:t>
      </w:r>
      <w:r w:rsidR="003139D2">
        <w:t>. Among these were:</w:t>
      </w:r>
      <w:r w:rsidRPr="00E97EBD">
        <w:t xml:space="preserve"> restrictions on</w:t>
      </w:r>
      <w:r w:rsidR="00410A9A">
        <w:t xml:space="preserve"> the consumption of</w:t>
      </w:r>
      <w:r w:rsidRPr="00E97EBD">
        <w:t xml:space="preserve"> alcohol and pornography, new limitations on Native land rights, and a sequestering of 50 percent of all welfare payments for basic needs. The Australian Defense Force presence ended in</w:t>
      </w:r>
      <w:r w:rsidR="00DC1EBA">
        <w:t xml:space="preserve"> October</w:t>
      </w:r>
      <w:r w:rsidRPr="00E97EBD">
        <w:t xml:space="preserve"> 2008 but the Intervention continued until August 2012 (Altman and Russell, 2012). It enjoyed a strong bi-partisan mandate, </w:t>
      </w:r>
      <w:r w:rsidR="0022323A">
        <w:t>with</w:t>
      </w:r>
      <w:r w:rsidR="0022323A" w:rsidRPr="00E97EBD">
        <w:t xml:space="preserve"> </w:t>
      </w:r>
      <w:r w:rsidRPr="00E97EBD">
        <w:t xml:space="preserve">the continued support </w:t>
      </w:r>
      <w:r w:rsidR="00967E82">
        <w:t>of subsequent Labor governments</w:t>
      </w:r>
      <w:r w:rsidRPr="00E97EBD">
        <w:t xml:space="preserve">, but </w:t>
      </w:r>
      <w:r w:rsidR="00410A9A">
        <w:t>some</w:t>
      </w:r>
      <w:r w:rsidR="00410A9A" w:rsidRPr="00E97EBD">
        <w:t xml:space="preserve"> </w:t>
      </w:r>
      <w:r w:rsidRPr="00E97EBD">
        <w:t xml:space="preserve">Indigenous leaders </w:t>
      </w:r>
      <w:r w:rsidR="00410A9A">
        <w:t xml:space="preserve">came to see </w:t>
      </w:r>
      <w:r w:rsidR="003139D2">
        <w:t xml:space="preserve">it as </w:t>
      </w:r>
      <w:r w:rsidRPr="00E97EBD">
        <w:t>authoritarian and paternalistic</w:t>
      </w:r>
      <w:r w:rsidR="003139D2">
        <w:t xml:space="preserve">, and </w:t>
      </w:r>
      <w:r w:rsidR="003139D2" w:rsidRPr="00E97EBD">
        <w:t>spoke out against it</w:t>
      </w:r>
      <w:r w:rsidR="003139D2">
        <w:t>.</w:t>
      </w:r>
      <w:r w:rsidRPr="00E97EBD">
        <w:rPr>
          <w:vertAlign w:val="superscript"/>
        </w:rPr>
        <w:footnoteReference w:id="11"/>
      </w:r>
      <w:r w:rsidRPr="00E97EBD">
        <w:t xml:space="preserve"> </w:t>
      </w:r>
    </w:p>
    <w:p w14:paraId="4FF38734" w14:textId="4E45ED1C" w:rsidR="003139D2" w:rsidRDefault="007277E2" w:rsidP="00E334CC">
      <w:pPr>
        <w:spacing w:after="120" w:line="360" w:lineRule="auto"/>
        <w:ind w:firstLine="204"/>
        <w:jc w:val="both"/>
      </w:pPr>
      <w:r>
        <w:t>SEAM was a</w:t>
      </w:r>
      <w:r w:rsidR="005E46ED">
        <w:t xml:space="preserve">nnounced in June 2008, </w:t>
      </w:r>
      <w:r>
        <w:t xml:space="preserve">and its </w:t>
      </w:r>
      <w:r w:rsidR="005E46ED">
        <w:t xml:space="preserve">implementation </w:t>
      </w:r>
      <w:r>
        <w:t>b</w:t>
      </w:r>
      <w:r w:rsidR="005E46ED">
        <w:t xml:space="preserve">egan at the start of the following </w:t>
      </w:r>
      <w:r>
        <w:t xml:space="preserve">Australian </w:t>
      </w:r>
      <w:r w:rsidR="005E46ED">
        <w:t>school year, in March</w:t>
      </w:r>
      <w:r w:rsidR="00E97EBD" w:rsidRPr="00E97EBD">
        <w:t xml:space="preserve"> 2009</w:t>
      </w:r>
      <w:r>
        <w:t>.</w:t>
      </w:r>
      <w:r w:rsidR="00E97EBD" w:rsidRPr="00E97EBD">
        <w:t xml:space="preserve"> </w:t>
      </w:r>
      <w:r>
        <w:t>A</w:t>
      </w:r>
      <w:r w:rsidR="00AE096F" w:rsidRPr="00E97EBD">
        <w:t xml:space="preserve">dministered </w:t>
      </w:r>
      <w:r w:rsidR="00E97EBD" w:rsidRPr="00E97EBD">
        <w:t>by the Department of Families, Community Services and Indigenous Affairs (</w:t>
      </w:r>
      <w:proofErr w:type="spellStart"/>
      <w:r w:rsidR="00E97EBD" w:rsidRPr="00E97EBD">
        <w:t>FaHCSIA</w:t>
      </w:r>
      <w:proofErr w:type="spellEnd"/>
      <w:r w:rsidR="00E97EBD" w:rsidRPr="00E97EBD">
        <w:t xml:space="preserve">), </w:t>
      </w:r>
      <w:r w:rsidR="00967E82">
        <w:t xml:space="preserve">it aimed </w:t>
      </w:r>
      <w:r w:rsidR="00AE096F">
        <w:t xml:space="preserve">to </w:t>
      </w:r>
      <w:r w:rsidR="00AE096F" w:rsidRPr="00E97EBD">
        <w:t>rais</w:t>
      </w:r>
      <w:r w:rsidR="00AE096F">
        <w:t>e</w:t>
      </w:r>
      <w:r w:rsidR="00AE096F" w:rsidRPr="00E97EBD">
        <w:t xml:space="preserve"> the low school attendance rates among Indigenous Australians in the Northern Territory</w:t>
      </w:r>
      <w:r w:rsidR="00AE096F">
        <w:t xml:space="preserve"> </w:t>
      </w:r>
      <w:r>
        <w:t>by conditioning</w:t>
      </w:r>
      <w:r w:rsidRPr="00E97EBD">
        <w:t xml:space="preserve"> income support payments </w:t>
      </w:r>
      <w:r>
        <w:t>on</w:t>
      </w:r>
      <w:r w:rsidRPr="00E97EBD">
        <w:t xml:space="preserve"> school attendance</w:t>
      </w:r>
      <w:r>
        <w:t>, with the ultimate goal of</w:t>
      </w:r>
      <w:r w:rsidR="00AE096F">
        <w:t xml:space="preserve"> </w:t>
      </w:r>
      <w:r w:rsidR="00E97EBD" w:rsidRPr="00E97EBD">
        <w:t>narrow</w:t>
      </w:r>
      <w:r>
        <w:t>ing</w:t>
      </w:r>
      <w:r w:rsidR="00E97EBD" w:rsidRPr="00E97EBD">
        <w:t xml:space="preserve"> </w:t>
      </w:r>
      <w:r w:rsidR="00E97EBD" w:rsidRPr="00E97EBD">
        <w:lastRenderedPageBreak/>
        <w:t xml:space="preserve">the economic gap between Indigenous and non-Indigenous Australians, and </w:t>
      </w:r>
      <w:r>
        <w:t>interrupting</w:t>
      </w:r>
      <w:r w:rsidR="00E97EBD" w:rsidRPr="00E97EBD">
        <w:t xml:space="preserve"> the intergenerational transmission of poverty</w:t>
      </w:r>
      <w:r w:rsidR="00AE096F">
        <w:t xml:space="preserve">. </w:t>
      </w:r>
    </w:p>
    <w:p w14:paraId="4F7C563F" w14:textId="3ECB7C82" w:rsidR="00AF23AE" w:rsidRDefault="00AF23AE"/>
    <w:tbl>
      <w:tblPr>
        <w:tblW w:w="7763" w:type="dxa"/>
        <w:jc w:val="center"/>
        <w:tblLayout w:type="fixed"/>
        <w:tblLook w:val="04A0" w:firstRow="1" w:lastRow="0" w:firstColumn="1" w:lastColumn="0" w:noHBand="0" w:noVBand="1"/>
      </w:tblPr>
      <w:tblGrid>
        <w:gridCol w:w="2215"/>
        <w:gridCol w:w="1387"/>
        <w:gridCol w:w="1387"/>
        <w:gridCol w:w="1387"/>
        <w:gridCol w:w="1387"/>
      </w:tblGrid>
      <w:tr w:rsidR="00E97EBD" w:rsidRPr="001633FD" w14:paraId="4312E4EF" w14:textId="77777777" w:rsidTr="003139D2">
        <w:trPr>
          <w:trHeight w:hRule="exact" w:val="465"/>
          <w:jc w:val="center"/>
        </w:trPr>
        <w:tc>
          <w:tcPr>
            <w:tcW w:w="7763" w:type="dxa"/>
            <w:gridSpan w:val="5"/>
            <w:tcBorders>
              <w:bottom w:val="double" w:sz="4" w:space="0" w:color="auto"/>
            </w:tcBorders>
            <w:vAlign w:val="center"/>
          </w:tcPr>
          <w:p w14:paraId="29B9C450" w14:textId="77777777" w:rsidR="00E97EBD" w:rsidRPr="006C109A" w:rsidRDefault="00E97EBD" w:rsidP="0029492A">
            <w:pPr>
              <w:pStyle w:val="TableTitle"/>
            </w:pPr>
            <w:r w:rsidRPr="006C109A">
              <w:t>Table 2—Target populations in SEAM sites, 2009</w:t>
            </w:r>
          </w:p>
          <w:p w14:paraId="56ACED27" w14:textId="77777777" w:rsidR="00E97EBD" w:rsidRPr="008B69B7" w:rsidRDefault="00E97EBD" w:rsidP="00E97EBD">
            <w:pPr>
              <w:pStyle w:val="TableText"/>
              <w:rPr>
                <w:sz w:val="20"/>
                <w:szCs w:val="20"/>
              </w:rPr>
            </w:pPr>
          </w:p>
        </w:tc>
      </w:tr>
      <w:tr w:rsidR="00E97EBD" w:rsidRPr="001633FD" w14:paraId="443D04D0" w14:textId="77777777" w:rsidTr="003139D2">
        <w:trPr>
          <w:trHeight w:hRule="exact" w:val="696"/>
          <w:jc w:val="center"/>
        </w:trPr>
        <w:tc>
          <w:tcPr>
            <w:tcW w:w="2215" w:type="dxa"/>
            <w:tcBorders>
              <w:top w:val="double" w:sz="4" w:space="0" w:color="auto"/>
              <w:bottom w:val="single" w:sz="4" w:space="0" w:color="auto"/>
            </w:tcBorders>
            <w:vAlign w:val="bottom"/>
          </w:tcPr>
          <w:p w14:paraId="46E570A7" w14:textId="77777777" w:rsidR="00E97EBD" w:rsidRPr="008B69B7" w:rsidRDefault="00E97EBD" w:rsidP="009E0243">
            <w:pPr>
              <w:pStyle w:val="TableText"/>
              <w:jc w:val="left"/>
              <w:rPr>
                <w:sz w:val="20"/>
                <w:szCs w:val="20"/>
              </w:rPr>
            </w:pPr>
            <w:r w:rsidRPr="008B69B7">
              <w:rPr>
                <w:sz w:val="20"/>
                <w:szCs w:val="20"/>
              </w:rPr>
              <w:t>Location</w:t>
            </w:r>
          </w:p>
        </w:tc>
        <w:tc>
          <w:tcPr>
            <w:tcW w:w="1387" w:type="dxa"/>
            <w:tcBorders>
              <w:top w:val="double" w:sz="4" w:space="0" w:color="auto"/>
              <w:bottom w:val="single" w:sz="4" w:space="0" w:color="auto"/>
            </w:tcBorders>
            <w:vAlign w:val="center"/>
          </w:tcPr>
          <w:p w14:paraId="6B1F899C" w14:textId="77777777" w:rsidR="00E97EBD" w:rsidRPr="008B69B7" w:rsidRDefault="00E97EBD" w:rsidP="009E0243">
            <w:pPr>
              <w:pStyle w:val="TableText"/>
              <w:rPr>
                <w:sz w:val="20"/>
                <w:szCs w:val="20"/>
              </w:rPr>
            </w:pPr>
            <w:r w:rsidRPr="008B69B7">
              <w:rPr>
                <w:sz w:val="20"/>
                <w:szCs w:val="20"/>
              </w:rPr>
              <w:t>Total Population</w:t>
            </w:r>
          </w:p>
        </w:tc>
        <w:tc>
          <w:tcPr>
            <w:tcW w:w="1387" w:type="dxa"/>
            <w:tcBorders>
              <w:top w:val="double" w:sz="4" w:space="0" w:color="auto"/>
              <w:bottom w:val="single" w:sz="4" w:space="0" w:color="auto"/>
            </w:tcBorders>
            <w:vAlign w:val="center"/>
          </w:tcPr>
          <w:p w14:paraId="33EF28CC" w14:textId="77777777" w:rsidR="00E97EBD" w:rsidRPr="008B69B7" w:rsidRDefault="00E97EBD" w:rsidP="009E0243">
            <w:pPr>
              <w:pStyle w:val="TableText"/>
              <w:rPr>
                <w:sz w:val="20"/>
                <w:szCs w:val="20"/>
              </w:rPr>
            </w:pPr>
            <w:r w:rsidRPr="008B69B7">
              <w:rPr>
                <w:sz w:val="20"/>
                <w:szCs w:val="20"/>
              </w:rPr>
              <w:t>Indigenous population</w:t>
            </w:r>
          </w:p>
        </w:tc>
        <w:tc>
          <w:tcPr>
            <w:tcW w:w="1387" w:type="dxa"/>
            <w:tcBorders>
              <w:top w:val="double" w:sz="4" w:space="0" w:color="auto"/>
              <w:bottom w:val="single" w:sz="4" w:space="0" w:color="auto"/>
            </w:tcBorders>
            <w:vAlign w:val="center"/>
          </w:tcPr>
          <w:p w14:paraId="78FCEF26" w14:textId="77777777" w:rsidR="00E97EBD" w:rsidRPr="008B69B7" w:rsidRDefault="00E97EBD" w:rsidP="009E0243">
            <w:pPr>
              <w:pStyle w:val="TableText"/>
              <w:rPr>
                <w:sz w:val="20"/>
                <w:szCs w:val="20"/>
              </w:rPr>
            </w:pPr>
            <w:r w:rsidRPr="008B69B7">
              <w:rPr>
                <w:sz w:val="20"/>
                <w:szCs w:val="20"/>
              </w:rPr>
              <w:t>Parents in SEAM</w:t>
            </w:r>
          </w:p>
        </w:tc>
        <w:tc>
          <w:tcPr>
            <w:tcW w:w="1387" w:type="dxa"/>
            <w:tcBorders>
              <w:top w:val="double" w:sz="4" w:space="0" w:color="auto"/>
              <w:bottom w:val="single" w:sz="4" w:space="0" w:color="auto"/>
            </w:tcBorders>
            <w:vAlign w:val="center"/>
          </w:tcPr>
          <w:p w14:paraId="1A6F8B3B" w14:textId="77777777" w:rsidR="00E97EBD" w:rsidRPr="008B69B7" w:rsidRDefault="00E97EBD" w:rsidP="009E0243">
            <w:pPr>
              <w:pStyle w:val="TableText"/>
              <w:rPr>
                <w:sz w:val="20"/>
                <w:szCs w:val="20"/>
              </w:rPr>
            </w:pPr>
            <w:r w:rsidRPr="008B69B7">
              <w:rPr>
                <w:sz w:val="20"/>
                <w:szCs w:val="20"/>
              </w:rPr>
              <w:t>Children in SEAM</w:t>
            </w:r>
          </w:p>
        </w:tc>
      </w:tr>
      <w:tr w:rsidR="00E97EBD" w:rsidRPr="001633FD" w14:paraId="11AC95B4" w14:textId="77777777" w:rsidTr="003139D2">
        <w:trPr>
          <w:trHeight w:val="345"/>
          <w:jc w:val="center"/>
        </w:trPr>
        <w:tc>
          <w:tcPr>
            <w:tcW w:w="2215" w:type="dxa"/>
            <w:tcBorders>
              <w:top w:val="single" w:sz="4" w:space="0" w:color="auto"/>
            </w:tcBorders>
            <w:vAlign w:val="center"/>
          </w:tcPr>
          <w:p w14:paraId="73EE8A1C" w14:textId="77777777" w:rsidR="00E97EBD" w:rsidRPr="008B69B7" w:rsidRDefault="00E97EBD" w:rsidP="0029492A">
            <w:pPr>
              <w:pStyle w:val="TableText"/>
              <w:jc w:val="both"/>
              <w:rPr>
                <w:sz w:val="20"/>
                <w:szCs w:val="20"/>
              </w:rPr>
            </w:pPr>
            <w:r w:rsidRPr="008B69B7">
              <w:rPr>
                <w:iCs/>
                <w:sz w:val="20"/>
                <w:szCs w:val="20"/>
              </w:rPr>
              <w:t>Katherine Township</w:t>
            </w:r>
          </w:p>
        </w:tc>
        <w:tc>
          <w:tcPr>
            <w:tcW w:w="1387" w:type="dxa"/>
            <w:tcBorders>
              <w:top w:val="single" w:sz="4" w:space="0" w:color="auto"/>
            </w:tcBorders>
            <w:vAlign w:val="center"/>
          </w:tcPr>
          <w:p w14:paraId="21353941" w14:textId="77777777" w:rsidR="00E97EBD" w:rsidRPr="008B69B7" w:rsidRDefault="00E97EBD" w:rsidP="0029492A">
            <w:pPr>
              <w:pStyle w:val="TableText"/>
              <w:spacing w:line="240" w:lineRule="auto"/>
              <w:ind w:right="454"/>
              <w:jc w:val="right"/>
              <w:rPr>
                <w:sz w:val="20"/>
                <w:szCs w:val="20"/>
              </w:rPr>
            </w:pPr>
            <w:r w:rsidRPr="008B69B7">
              <w:rPr>
                <w:sz w:val="20"/>
                <w:szCs w:val="20"/>
              </w:rPr>
              <w:t>9</w:t>
            </w:r>
            <w:r>
              <w:rPr>
                <w:sz w:val="20"/>
                <w:szCs w:val="20"/>
              </w:rPr>
              <w:t>,</w:t>
            </w:r>
            <w:r w:rsidRPr="008B69B7">
              <w:rPr>
                <w:sz w:val="20"/>
                <w:szCs w:val="20"/>
              </w:rPr>
              <w:t>208</w:t>
            </w:r>
          </w:p>
        </w:tc>
        <w:tc>
          <w:tcPr>
            <w:tcW w:w="1387" w:type="dxa"/>
            <w:tcBorders>
              <w:top w:val="single" w:sz="4" w:space="0" w:color="auto"/>
            </w:tcBorders>
            <w:vAlign w:val="center"/>
          </w:tcPr>
          <w:p w14:paraId="11E22771" w14:textId="77777777" w:rsidR="00E97EBD" w:rsidRPr="008B69B7" w:rsidRDefault="00E97EBD" w:rsidP="0029492A">
            <w:pPr>
              <w:pStyle w:val="TableText"/>
              <w:spacing w:line="240" w:lineRule="auto"/>
              <w:ind w:right="454"/>
              <w:jc w:val="right"/>
              <w:rPr>
                <w:sz w:val="20"/>
                <w:szCs w:val="20"/>
              </w:rPr>
            </w:pPr>
            <w:r w:rsidRPr="008B69B7">
              <w:rPr>
                <w:sz w:val="20"/>
                <w:szCs w:val="20"/>
              </w:rPr>
              <w:t>2</w:t>
            </w:r>
            <w:r>
              <w:rPr>
                <w:sz w:val="20"/>
                <w:szCs w:val="20"/>
              </w:rPr>
              <w:t>,</w:t>
            </w:r>
            <w:r w:rsidRPr="008B69B7">
              <w:rPr>
                <w:sz w:val="20"/>
                <w:szCs w:val="20"/>
              </w:rPr>
              <w:t>365</w:t>
            </w:r>
          </w:p>
        </w:tc>
        <w:tc>
          <w:tcPr>
            <w:tcW w:w="1387" w:type="dxa"/>
            <w:tcBorders>
              <w:top w:val="single" w:sz="4" w:space="0" w:color="auto"/>
            </w:tcBorders>
            <w:vAlign w:val="center"/>
          </w:tcPr>
          <w:p w14:paraId="2C0FCFB3" w14:textId="77777777" w:rsidR="00E97EBD" w:rsidRPr="008B69B7" w:rsidRDefault="00E97EBD" w:rsidP="0029492A">
            <w:pPr>
              <w:pStyle w:val="TableText"/>
              <w:spacing w:line="240" w:lineRule="auto"/>
              <w:ind w:right="454"/>
              <w:jc w:val="right"/>
              <w:rPr>
                <w:sz w:val="20"/>
                <w:szCs w:val="20"/>
              </w:rPr>
            </w:pPr>
            <w:r w:rsidRPr="008B69B7">
              <w:rPr>
                <w:sz w:val="20"/>
                <w:szCs w:val="20"/>
              </w:rPr>
              <w:t>354</w:t>
            </w:r>
          </w:p>
        </w:tc>
        <w:tc>
          <w:tcPr>
            <w:tcW w:w="1387" w:type="dxa"/>
            <w:tcBorders>
              <w:top w:val="single" w:sz="4" w:space="0" w:color="auto"/>
            </w:tcBorders>
            <w:vAlign w:val="center"/>
          </w:tcPr>
          <w:p w14:paraId="759FE1F6" w14:textId="77777777" w:rsidR="00E97EBD" w:rsidRPr="008B69B7" w:rsidRDefault="00E97EBD" w:rsidP="0029492A">
            <w:pPr>
              <w:pStyle w:val="TableText"/>
              <w:spacing w:line="240" w:lineRule="auto"/>
              <w:ind w:right="454"/>
              <w:jc w:val="right"/>
              <w:rPr>
                <w:sz w:val="20"/>
                <w:szCs w:val="20"/>
              </w:rPr>
            </w:pPr>
            <w:r w:rsidRPr="008B69B7">
              <w:rPr>
                <w:sz w:val="20"/>
                <w:szCs w:val="20"/>
              </w:rPr>
              <w:t>611</w:t>
            </w:r>
          </w:p>
        </w:tc>
      </w:tr>
      <w:tr w:rsidR="00E97EBD" w:rsidRPr="001633FD" w14:paraId="19A67C47" w14:textId="77777777" w:rsidTr="003139D2">
        <w:trPr>
          <w:trHeight w:val="345"/>
          <w:jc w:val="center"/>
        </w:trPr>
        <w:tc>
          <w:tcPr>
            <w:tcW w:w="2215" w:type="dxa"/>
            <w:vAlign w:val="center"/>
          </w:tcPr>
          <w:p w14:paraId="24F7CD45" w14:textId="77777777" w:rsidR="00E97EBD" w:rsidRPr="008B69B7" w:rsidRDefault="00E97EBD" w:rsidP="0029492A">
            <w:pPr>
              <w:pStyle w:val="TableText"/>
              <w:jc w:val="both"/>
              <w:rPr>
                <w:sz w:val="20"/>
                <w:szCs w:val="20"/>
              </w:rPr>
            </w:pPr>
            <w:r w:rsidRPr="008B69B7">
              <w:rPr>
                <w:sz w:val="20"/>
                <w:szCs w:val="20"/>
              </w:rPr>
              <w:t>Katherine Town Camps</w:t>
            </w:r>
          </w:p>
        </w:tc>
        <w:tc>
          <w:tcPr>
            <w:tcW w:w="1387" w:type="dxa"/>
            <w:vAlign w:val="center"/>
          </w:tcPr>
          <w:p w14:paraId="518A905B" w14:textId="77777777" w:rsidR="00E97EBD" w:rsidRPr="008B69B7" w:rsidRDefault="00E97EBD" w:rsidP="0029492A">
            <w:pPr>
              <w:pStyle w:val="TableText"/>
              <w:spacing w:line="240" w:lineRule="auto"/>
              <w:ind w:right="454"/>
              <w:jc w:val="right"/>
              <w:rPr>
                <w:sz w:val="20"/>
                <w:szCs w:val="20"/>
              </w:rPr>
            </w:pPr>
            <w:r w:rsidRPr="008B69B7">
              <w:rPr>
                <w:sz w:val="20"/>
                <w:szCs w:val="20"/>
              </w:rPr>
              <w:t>-</w:t>
            </w:r>
          </w:p>
        </w:tc>
        <w:tc>
          <w:tcPr>
            <w:tcW w:w="1387" w:type="dxa"/>
            <w:vAlign w:val="center"/>
          </w:tcPr>
          <w:p w14:paraId="4BD0C70E" w14:textId="77777777" w:rsidR="00E97EBD" w:rsidRPr="008B69B7" w:rsidRDefault="00E97EBD" w:rsidP="0029492A">
            <w:pPr>
              <w:pStyle w:val="TableText"/>
              <w:spacing w:line="240" w:lineRule="auto"/>
              <w:ind w:right="454"/>
              <w:jc w:val="right"/>
              <w:rPr>
                <w:sz w:val="20"/>
                <w:szCs w:val="20"/>
              </w:rPr>
            </w:pPr>
            <w:r w:rsidRPr="008B69B7">
              <w:rPr>
                <w:sz w:val="20"/>
                <w:szCs w:val="20"/>
              </w:rPr>
              <w:t>-</w:t>
            </w:r>
          </w:p>
        </w:tc>
        <w:tc>
          <w:tcPr>
            <w:tcW w:w="1387" w:type="dxa"/>
            <w:vAlign w:val="center"/>
          </w:tcPr>
          <w:p w14:paraId="23712F51" w14:textId="77777777" w:rsidR="00E97EBD" w:rsidRPr="008B69B7" w:rsidRDefault="00E97EBD" w:rsidP="0029492A">
            <w:pPr>
              <w:pStyle w:val="TableText"/>
              <w:spacing w:line="240" w:lineRule="auto"/>
              <w:ind w:right="454"/>
              <w:jc w:val="right"/>
              <w:rPr>
                <w:sz w:val="20"/>
                <w:szCs w:val="20"/>
              </w:rPr>
            </w:pPr>
            <w:r w:rsidRPr="008B69B7">
              <w:rPr>
                <w:sz w:val="20"/>
                <w:szCs w:val="20"/>
              </w:rPr>
              <w:t>111</w:t>
            </w:r>
          </w:p>
        </w:tc>
        <w:tc>
          <w:tcPr>
            <w:tcW w:w="1387" w:type="dxa"/>
            <w:vAlign w:val="center"/>
          </w:tcPr>
          <w:p w14:paraId="4830F7FD" w14:textId="77777777" w:rsidR="00E97EBD" w:rsidRPr="008B69B7" w:rsidRDefault="00E97EBD" w:rsidP="0029492A">
            <w:pPr>
              <w:pStyle w:val="TableText"/>
              <w:spacing w:line="240" w:lineRule="auto"/>
              <w:ind w:right="454"/>
              <w:jc w:val="right"/>
              <w:rPr>
                <w:sz w:val="20"/>
                <w:szCs w:val="20"/>
              </w:rPr>
            </w:pPr>
            <w:r w:rsidRPr="008B69B7">
              <w:rPr>
                <w:sz w:val="20"/>
                <w:szCs w:val="20"/>
              </w:rPr>
              <w:t>191</w:t>
            </w:r>
          </w:p>
        </w:tc>
      </w:tr>
      <w:tr w:rsidR="00E97EBD" w:rsidRPr="001633FD" w14:paraId="5E6DEDBC" w14:textId="77777777" w:rsidTr="003139D2">
        <w:trPr>
          <w:trHeight w:val="345"/>
          <w:jc w:val="center"/>
        </w:trPr>
        <w:tc>
          <w:tcPr>
            <w:tcW w:w="2215" w:type="dxa"/>
            <w:vAlign w:val="center"/>
          </w:tcPr>
          <w:p w14:paraId="22FA81B1" w14:textId="77777777" w:rsidR="00E97EBD" w:rsidRPr="008B69B7" w:rsidRDefault="00E97EBD" w:rsidP="0029492A">
            <w:pPr>
              <w:pStyle w:val="TableText"/>
              <w:jc w:val="both"/>
              <w:rPr>
                <w:sz w:val="20"/>
                <w:szCs w:val="20"/>
              </w:rPr>
            </w:pPr>
            <w:proofErr w:type="spellStart"/>
            <w:r w:rsidRPr="008B69B7">
              <w:rPr>
                <w:sz w:val="20"/>
                <w:szCs w:val="20"/>
              </w:rPr>
              <w:t>Hermannsburg</w:t>
            </w:r>
            <w:proofErr w:type="spellEnd"/>
          </w:p>
        </w:tc>
        <w:tc>
          <w:tcPr>
            <w:tcW w:w="1387" w:type="dxa"/>
            <w:vAlign w:val="center"/>
          </w:tcPr>
          <w:p w14:paraId="7F4E2B3A" w14:textId="77777777" w:rsidR="00E97EBD" w:rsidRPr="008B69B7" w:rsidRDefault="00E97EBD" w:rsidP="0029492A">
            <w:pPr>
              <w:pStyle w:val="TableText"/>
              <w:spacing w:line="240" w:lineRule="auto"/>
              <w:ind w:right="454"/>
              <w:jc w:val="right"/>
              <w:rPr>
                <w:sz w:val="20"/>
                <w:szCs w:val="20"/>
              </w:rPr>
            </w:pPr>
            <w:r w:rsidRPr="008B69B7">
              <w:rPr>
                <w:sz w:val="20"/>
                <w:szCs w:val="20"/>
              </w:rPr>
              <w:t>623</w:t>
            </w:r>
          </w:p>
        </w:tc>
        <w:tc>
          <w:tcPr>
            <w:tcW w:w="1387" w:type="dxa"/>
            <w:vAlign w:val="center"/>
          </w:tcPr>
          <w:p w14:paraId="74DD5EA8" w14:textId="77777777" w:rsidR="00E97EBD" w:rsidRPr="008B69B7" w:rsidRDefault="00E97EBD" w:rsidP="0029492A">
            <w:pPr>
              <w:pStyle w:val="TableText"/>
              <w:spacing w:line="240" w:lineRule="auto"/>
              <w:ind w:right="454"/>
              <w:jc w:val="right"/>
              <w:rPr>
                <w:sz w:val="20"/>
                <w:szCs w:val="20"/>
              </w:rPr>
            </w:pPr>
            <w:r w:rsidRPr="008B69B7">
              <w:rPr>
                <w:sz w:val="20"/>
                <w:szCs w:val="20"/>
              </w:rPr>
              <w:t>537</w:t>
            </w:r>
          </w:p>
        </w:tc>
        <w:tc>
          <w:tcPr>
            <w:tcW w:w="1387" w:type="dxa"/>
            <w:vAlign w:val="center"/>
          </w:tcPr>
          <w:p w14:paraId="6B854658" w14:textId="77777777" w:rsidR="00E97EBD" w:rsidRPr="008B69B7" w:rsidRDefault="00E97EBD" w:rsidP="0029492A">
            <w:pPr>
              <w:pStyle w:val="TableText"/>
              <w:spacing w:line="240" w:lineRule="auto"/>
              <w:ind w:right="454"/>
              <w:jc w:val="right"/>
              <w:rPr>
                <w:sz w:val="20"/>
                <w:szCs w:val="20"/>
              </w:rPr>
            </w:pPr>
            <w:r w:rsidRPr="008B69B7">
              <w:rPr>
                <w:sz w:val="20"/>
                <w:szCs w:val="20"/>
              </w:rPr>
              <w:t>87</w:t>
            </w:r>
          </w:p>
        </w:tc>
        <w:tc>
          <w:tcPr>
            <w:tcW w:w="1387" w:type="dxa"/>
            <w:vAlign w:val="center"/>
          </w:tcPr>
          <w:p w14:paraId="72E88CC9" w14:textId="77777777" w:rsidR="00E97EBD" w:rsidRPr="008B69B7" w:rsidRDefault="00E97EBD" w:rsidP="0029492A">
            <w:pPr>
              <w:pStyle w:val="TableText"/>
              <w:spacing w:line="240" w:lineRule="auto"/>
              <w:ind w:right="454"/>
              <w:jc w:val="right"/>
              <w:rPr>
                <w:sz w:val="20"/>
                <w:szCs w:val="20"/>
              </w:rPr>
            </w:pPr>
            <w:r w:rsidRPr="008B69B7">
              <w:rPr>
                <w:sz w:val="20"/>
                <w:szCs w:val="20"/>
              </w:rPr>
              <w:t>125</w:t>
            </w:r>
          </w:p>
        </w:tc>
      </w:tr>
      <w:tr w:rsidR="00E97EBD" w:rsidRPr="008847EB" w14:paraId="6F1B07EA" w14:textId="77777777" w:rsidTr="003139D2">
        <w:trPr>
          <w:trHeight w:val="345"/>
          <w:jc w:val="center"/>
        </w:trPr>
        <w:tc>
          <w:tcPr>
            <w:tcW w:w="2215" w:type="dxa"/>
            <w:vAlign w:val="center"/>
          </w:tcPr>
          <w:p w14:paraId="3A4622BC" w14:textId="77777777" w:rsidR="00E97EBD" w:rsidRPr="008B69B7" w:rsidRDefault="00E97EBD" w:rsidP="0029492A">
            <w:pPr>
              <w:pStyle w:val="TableText"/>
              <w:jc w:val="both"/>
              <w:rPr>
                <w:sz w:val="20"/>
                <w:szCs w:val="20"/>
              </w:rPr>
            </w:pPr>
            <w:r w:rsidRPr="008B69B7">
              <w:rPr>
                <w:iCs/>
                <w:sz w:val="20"/>
                <w:szCs w:val="20"/>
              </w:rPr>
              <w:t>Wallace Rockhole</w:t>
            </w:r>
          </w:p>
        </w:tc>
        <w:tc>
          <w:tcPr>
            <w:tcW w:w="1387" w:type="dxa"/>
            <w:vAlign w:val="center"/>
          </w:tcPr>
          <w:p w14:paraId="2FAF4D2E" w14:textId="77777777" w:rsidR="00E97EBD" w:rsidRPr="008B69B7" w:rsidRDefault="00E97EBD" w:rsidP="0029492A">
            <w:pPr>
              <w:pStyle w:val="TableText"/>
              <w:spacing w:line="240" w:lineRule="auto"/>
              <w:ind w:right="454"/>
              <w:jc w:val="right"/>
              <w:rPr>
                <w:sz w:val="20"/>
                <w:szCs w:val="20"/>
              </w:rPr>
            </w:pPr>
            <w:r w:rsidRPr="008B69B7">
              <w:rPr>
                <w:sz w:val="20"/>
                <w:szCs w:val="20"/>
              </w:rPr>
              <w:t>68</w:t>
            </w:r>
          </w:p>
        </w:tc>
        <w:tc>
          <w:tcPr>
            <w:tcW w:w="1387" w:type="dxa"/>
            <w:vAlign w:val="center"/>
          </w:tcPr>
          <w:p w14:paraId="7330B11A" w14:textId="77777777" w:rsidR="00E97EBD" w:rsidRPr="008B69B7" w:rsidRDefault="00E97EBD" w:rsidP="0029492A">
            <w:pPr>
              <w:pStyle w:val="TableText"/>
              <w:spacing w:line="240" w:lineRule="auto"/>
              <w:ind w:right="454"/>
              <w:jc w:val="right"/>
              <w:rPr>
                <w:sz w:val="20"/>
                <w:szCs w:val="20"/>
              </w:rPr>
            </w:pPr>
            <w:r w:rsidRPr="008B69B7">
              <w:rPr>
                <w:sz w:val="20"/>
                <w:szCs w:val="20"/>
              </w:rPr>
              <w:t>63</w:t>
            </w:r>
          </w:p>
        </w:tc>
        <w:tc>
          <w:tcPr>
            <w:tcW w:w="1387" w:type="dxa"/>
            <w:vAlign w:val="center"/>
          </w:tcPr>
          <w:p w14:paraId="2E073905" w14:textId="77777777" w:rsidR="00E97EBD" w:rsidRPr="008B69B7" w:rsidRDefault="00E97EBD" w:rsidP="0029492A">
            <w:pPr>
              <w:pStyle w:val="TableText"/>
              <w:spacing w:line="240" w:lineRule="auto"/>
              <w:ind w:right="454"/>
              <w:jc w:val="right"/>
              <w:rPr>
                <w:sz w:val="20"/>
                <w:szCs w:val="20"/>
              </w:rPr>
            </w:pPr>
            <w:r w:rsidRPr="008B69B7">
              <w:rPr>
                <w:sz w:val="20"/>
                <w:szCs w:val="20"/>
              </w:rPr>
              <w:t>15</w:t>
            </w:r>
          </w:p>
        </w:tc>
        <w:tc>
          <w:tcPr>
            <w:tcW w:w="1387" w:type="dxa"/>
            <w:vAlign w:val="center"/>
          </w:tcPr>
          <w:p w14:paraId="662330FB" w14:textId="77777777" w:rsidR="00E97EBD" w:rsidRPr="008B69B7" w:rsidRDefault="00E97EBD" w:rsidP="0029492A">
            <w:pPr>
              <w:pStyle w:val="TableText"/>
              <w:spacing w:line="240" w:lineRule="auto"/>
              <w:ind w:right="454"/>
              <w:jc w:val="right"/>
              <w:rPr>
                <w:sz w:val="20"/>
                <w:szCs w:val="20"/>
              </w:rPr>
            </w:pPr>
            <w:r w:rsidRPr="008B69B7">
              <w:rPr>
                <w:sz w:val="20"/>
                <w:szCs w:val="20"/>
              </w:rPr>
              <w:t>21</w:t>
            </w:r>
          </w:p>
        </w:tc>
      </w:tr>
      <w:tr w:rsidR="00E97EBD" w:rsidRPr="001633FD" w14:paraId="49C92336" w14:textId="77777777" w:rsidTr="003139D2">
        <w:trPr>
          <w:trHeight w:val="345"/>
          <w:jc w:val="center"/>
        </w:trPr>
        <w:tc>
          <w:tcPr>
            <w:tcW w:w="2215" w:type="dxa"/>
            <w:vAlign w:val="center"/>
          </w:tcPr>
          <w:p w14:paraId="7B0B8A13" w14:textId="77777777" w:rsidR="00E97EBD" w:rsidRPr="008B69B7" w:rsidRDefault="00E97EBD" w:rsidP="0029492A">
            <w:pPr>
              <w:pStyle w:val="TableText"/>
              <w:jc w:val="both"/>
              <w:rPr>
                <w:sz w:val="20"/>
                <w:szCs w:val="20"/>
              </w:rPr>
            </w:pPr>
            <w:proofErr w:type="spellStart"/>
            <w:r w:rsidRPr="008B69B7">
              <w:rPr>
                <w:sz w:val="20"/>
                <w:szCs w:val="20"/>
              </w:rPr>
              <w:t>Tiwi</w:t>
            </w:r>
            <w:proofErr w:type="spellEnd"/>
            <w:r w:rsidRPr="008B69B7">
              <w:rPr>
                <w:sz w:val="20"/>
                <w:szCs w:val="20"/>
              </w:rPr>
              <w:t xml:space="preserve"> Islands</w:t>
            </w:r>
          </w:p>
        </w:tc>
        <w:tc>
          <w:tcPr>
            <w:tcW w:w="1387" w:type="dxa"/>
            <w:vAlign w:val="center"/>
          </w:tcPr>
          <w:p w14:paraId="04BCF4AA" w14:textId="77777777" w:rsidR="00E97EBD" w:rsidRPr="008B69B7" w:rsidRDefault="00E97EBD" w:rsidP="0029492A">
            <w:pPr>
              <w:pStyle w:val="TableText"/>
              <w:spacing w:line="240" w:lineRule="auto"/>
              <w:ind w:right="454"/>
              <w:jc w:val="right"/>
              <w:rPr>
                <w:sz w:val="20"/>
                <w:szCs w:val="20"/>
              </w:rPr>
            </w:pPr>
            <w:r w:rsidRPr="008B69B7">
              <w:rPr>
                <w:sz w:val="20"/>
                <w:szCs w:val="20"/>
              </w:rPr>
              <w:t>2</w:t>
            </w:r>
            <w:r>
              <w:rPr>
                <w:sz w:val="20"/>
                <w:szCs w:val="20"/>
              </w:rPr>
              <w:t>,</w:t>
            </w:r>
            <w:r w:rsidRPr="008B69B7">
              <w:rPr>
                <w:sz w:val="20"/>
                <w:szCs w:val="20"/>
              </w:rPr>
              <w:t>579</w:t>
            </w:r>
          </w:p>
        </w:tc>
        <w:tc>
          <w:tcPr>
            <w:tcW w:w="1387" w:type="dxa"/>
            <w:vAlign w:val="center"/>
          </w:tcPr>
          <w:p w14:paraId="6002D7AD" w14:textId="77777777" w:rsidR="00E97EBD" w:rsidRPr="008B69B7" w:rsidRDefault="00E97EBD" w:rsidP="0029492A">
            <w:pPr>
              <w:pStyle w:val="TableText"/>
              <w:spacing w:line="240" w:lineRule="auto"/>
              <w:ind w:right="454"/>
              <w:jc w:val="right"/>
              <w:rPr>
                <w:sz w:val="20"/>
                <w:szCs w:val="20"/>
              </w:rPr>
            </w:pPr>
            <w:r w:rsidRPr="008B69B7">
              <w:rPr>
                <w:sz w:val="20"/>
                <w:szCs w:val="20"/>
              </w:rPr>
              <w:t>2</w:t>
            </w:r>
            <w:r>
              <w:rPr>
                <w:sz w:val="20"/>
                <w:szCs w:val="20"/>
              </w:rPr>
              <w:t>,</w:t>
            </w:r>
            <w:r w:rsidRPr="008B69B7">
              <w:rPr>
                <w:sz w:val="20"/>
                <w:szCs w:val="20"/>
              </w:rPr>
              <w:t>267</w:t>
            </w:r>
          </w:p>
        </w:tc>
        <w:tc>
          <w:tcPr>
            <w:tcW w:w="1387" w:type="dxa"/>
            <w:vAlign w:val="center"/>
          </w:tcPr>
          <w:p w14:paraId="6818F158" w14:textId="77777777" w:rsidR="00E97EBD" w:rsidRPr="008B69B7" w:rsidRDefault="00E97EBD" w:rsidP="0029492A">
            <w:pPr>
              <w:pStyle w:val="TableText"/>
              <w:spacing w:line="240" w:lineRule="auto"/>
              <w:ind w:right="454"/>
              <w:jc w:val="right"/>
              <w:rPr>
                <w:sz w:val="20"/>
                <w:szCs w:val="20"/>
              </w:rPr>
            </w:pPr>
            <w:r w:rsidRPr="008B69B7">
              <w:rPr>
                <w:sz w:val="20"/>
                <w:szCs w:val="20"/>
              </w:rPr>
              <w:t>203</w:t>
            </w:r>
          </w:p>
        </w:tc>
        <w:tc>
          <w:tcPr>
            <w:tcW w:w="1387" w:type="dxa"/>
            <w:vAlign w:val="center"/>
          </w:tcPr>
          <w:p w14:paraId="1FEFB395" w14:textId="77777777" w:rsidR="00E97EBD" w:rsidRPr="008B69B7" w:rsidRDefault="00E97EBD" w:rsidP="0029492A">
            <w:pPr>
              <w:pStyle w:val="TableText"/>
              <w:spacing w:line="240" w:lineRule="auto"/>
              <w:ind w:right="454"/>
              <w:jc w:val="right"/>
              <w:rPr>
                <w:sz w:val="20"/>
                <w:szCs w:val="20"/>
              </w:rPr>
            </w:pPr>
            <w:r w:rsidRPr="008B69B7">
              <w:rPr>
                <w:sz w:val="20"/>
                <w:szCs w:val="20"/>
              </w:rPr>
              <w:t>336</w:t>
            </w:r>
          </w:p>
        </w:tc>
      </w:tr>
      <w:tr w:rsidR="00E97EBD" w:rsidRPr="001633FD" w14:paraId="0E24CFDD" w14:textId="77777777" w:rsidTr="003139D2">
        <w:trPr>
          <w:trHeight w:val="345"/>
          <w:jc w:val="center"/>
        </w:trPr>
        <w:tc>
          <w:tcPr>
            <w:tcW w:w="2215" w:type="dxa"/>
            <w:tcBorders>
              <w:bottom w:val="single" w:sz="4" w:space="0" w:color="auto"/>
            </w:tcBorders>
            <w:vAlign w:val="center"/>
          </w:tcPr>
          <w:p w14:paraId="44589E6A" w14:textId="77777777" w:rsidR="00E97EBD" w:rsidRPr="008B69B7" w:rsidRDefault="00E97EBD" w:rsidP="0029492A">
            <w:pPr>
              <w:pStyle w:val="TableText"/>
              <w:jc w:val="both"/>
              <w:rPr>
                <w:sz w:val="20"/>
                <w:szCs w:val="20"/>
              </w:rPr>
            </w:pPr>
            <w:proofErr w:type="spellStart"/>
            <w:r w:rsidRPr="008B69B7">
              <w:rPr>
                <w:sz w:val="20"/>
                <w:szCs w:val="20"/>
              </w:rPr>
              <w:t>Wadeye</w:t>
            </w:r>
            <w:proofErr w:type="spellEnd"/>
          </w:p>
        </w:tc>
        <w:tc>
          <w:tcPr>
            <w:tcW w:w="1387" w:type="dxa"/>
            <w:tcBorders>
              <w:bottom w:val="single" w:sz="4" w:space="0" w:color="auto"/>
            </w:tcBorders>
            <w:vAlign w:val="center"/>
          </w:tcPr>
          <w:p w14:paraId="16C23382" w14:textId="77777777" w:rsidR="00E97EBD" w:rsidRPr="008B69B7" w:rsidRDefault="00E97EBD" w:rsidP="0029492A">
            <w:pPr>
              <w:pStyle w:val="TableText"/>
              <w:spacing w:line="240" w:lineRule="auto"/>
              <w:ind w:right="454"/>
              <w:jc w:val="right"/>
              <w:rPr>
                <w:sz w:val="20"/>
                <w:szCs w:val="20"/>
              </w:rPr>
            </w:pPr>
            <w:r w:rsidRPr="008B69B7">
              <w:rPr>
                <w:sz w:val="20"/>
                <w:szCs w:val="20"/>
              </w:rPr>
              <w:t>2</w:t>
            </w:r>
            <w:r>
              <w:rPr>
                <w:sz w:val="20"/>
                <w:szCs w:val="20"/>
              </w:rPr>
              <w:t>,</w:t>
            </w:r>
            <w:r w:rsidRPr="008B69B7">
              <w:rPr>
                <w:sz w:val="20"/>
                <w:szCs w:val="20"/>
              </w:rPr>
              <w:t>112</w:t>
            </w:r>
          </w:p>
        </w:tc>
        <w:tc>
          <w:tcPr>
            <w:tcW w:w="1387" w:type="dxa"/>
            <w:tcBorders>
              <w:bottom w:val="single" w:sz="4" w:space="0" w:color="auto"/>
            </w:tcBorders>
            <w:vAlign w:val="center"/>
          </w:tcPr>
          <w:p w14:paraId="333EC464" w14:textId="77777777" w:rsidR="00E97EBD" w:rsidRPr="008B69B7" w:rsidRDefault="00E97EBD" w:rsidP="0029492A">
            <w:pPr>
              <w:pStyle w:val="TableText"/>
              <w:spacing w:line="240" w:lineRule="auto"/>
              <w:ind w:right="454"/>
              <w:jc w:val="right"/>
              <w:rPr>
                <w:sz w:val="20"/>
                <w:szCs w:val="20"/>
              </w:rPr>
            </w:pPr>
            <w:r w:rsidRPr="008B69B7">
              <w:rPr>
                <w:sz w:val="20"/>
                <w:szCs w:val="20"/>
              </w:rPr>
              <w:t>1</w:t>
            </w:r>
            <w:r>
              <w:rPr>
                <w:sz w:val="20"/>
                <w:szCs w:val="20"/>
              </w:rPr>
              <w:t>,</w:t>
            </w:r>
            <w:r w:rsidRPr="008B69B7">
              <w:rPr>
                <w:sz w:val="20"/>
                <w:szCs w:val="20"/>
              </w:rPr>
              <w:t>927</w:t>
            </w:r>
          </w:p>
        </w:tc>
        <w:tc>
          <w:tcPr>
            <w:tcW w:w="1387" w:type="dxa"/>
            <w:tcBorders>
              <w:bottom w:val="single" w:sz="4" w:space="0" w:color="auto"/>
            </w:tcBorders>
            <w:vAlign w:val="center"/>
          </w:tcPr>
          <w:p w14:paraId="0A00F2B8" w14:textId="77777777" w:rsidR="00E97EBD" w:rsidRPr="008B69B7" w:rsidRDefault="00E97EBD" w:rsidP="0029492A">
            <w:pPr>
              <w:pStyle w:val="TableText"/>
              <w:spacing w:line="240" w:lineRule="auto"/>
              <w:ind w:right="454"/>
              <w:jc w:val="right"/>
              <w:rPr>
                <w:sz w:val="20"/>
                <w:szCs w:val="20"/>
              </w:rPr>
            </w:pPr>
            <w:r w:rsidRPr="008B69B7">
              <w:rPr>
                <w:sz w:val="20"/>
                <w:szCs w:val="20"/>
              </w:rPr>
              <w:t>219</w:t>
            </w:r>
          </w:p>
        </w:tc>
        <w:tc>
          <w:tcPr>
            <w:tcW w:w="1387" w:type="dxa"/>
            <w:tcBorders>
              <w:bottom w:val="single" w:sz="4" w:space="0" w:color="auto"/>
            </w:tcBorders>
            <w:vAlign w:val="center"/>
          </w:tcPr>
          <w:p w14:paraId="616C2DC5" w14:textId="77777777" w:rsidR="00E97EBD" w:rsidRPr="008B69B7" w:rsidRDefault="00E97EBD" w:rsidP="0029492A">
            <w:pPr>
              <w:pStyle w:val="TableText"/>
              <w:spacing w:line="240" w:lineRule="auto"/>
              <w:ind w:right="454"/>
              <w:jc w:val="right"/>
              <w:rPr>
                <w:sz w:val="20"/>
                <w:szCs w:val="20"/>
              </w:rPr>
            </w:pPr>
            <w:r w:rsidRPr="008B69B7">
              <w:rPr>
                <w:sz w:val="20"/>
                <w:szCs w:val="20"/>
              </w:rPr>
              <w:t>374</w:t>
            </w:r>
          </w:p>
        </w:tc>
      </w:tr>
      <w:tr w:rsidR="00E97EBD" w:rsidRPr="001633FD" w14:paraId="7BEAE4A2" w14:textId="77777777" w:rsidTr="003139D2">
        <w:trPr>
          <w:trHeight w:val="345"/>
          <w:jc w:val="center"/>
        </w:trPr>
        <w:tc>
          <w:tcPr>
            <w:tcW w:w="2215" w:type="dxa"/>
            <w:tcBorders>
              <w:top w:val="single" w:sz="4" w:space="0" w:color="auto"/>
              <w:bottom w:val="single" w:sz="4" w:space="0" w:color="auto"/>
            </w:tcBorders>
            <w:vAlign w:val="center"/>
          </w:tcPr>
          <w:p w14:paraId="3546F6FA" w14:textId="77777777" w:rsidR="00E97EBD" w:rsidRPr="008B69B7" w:rsidRDefault="00E97EBD" w:rsidP="0029492A">
            <w:pPr>
              <w:pStyle w:val="TableText"/>
              <w:jc w:val="both"/>
              <w:rPr>
                <w:sz w:val="20"/>
                <w:szCs w:val="20"/>
              </w:rPr>
            </w:pPr>
            <w:r>
              <w:rPr>
                <w:sz w:val="20"/>
                <w:szCs w:val="20"/>
              </w:rPr>
              <w:t>Total</w:t>
            </w:r>
          </w:p>
        </w:tc>
        <w:tc>
          <w:tcPr>
            <w:tcW w:w="1387" w:type="dxa"/>
            <w:tcBorders>
              <w:top w:val="single" w:sz="4" w:space="0" w:color="auto"/>
              <w:bottom w:val="single" w:sz="4" w:space="0" w:color="auto"/>
            </w:tcBorders>
            <w:vAlign w:val="center"/>
          </w:tcPr>
          <w:p w14:paraId="7E7D964E" w14:textId="77777777" w:rsidR="00E97EBD" w:rsidRPr="008B69B7" w:rsidRDefault="00E97EBD" w:rsidP="0029492A">
            <w:pPr>
              <w:pStyle w:val="TableText"/>
              <w:spacing w:line="240" w:lineRule="auto"/>
              <w:ind w:right="454"/>
              <w:jc w:val="right"/>
              <w:rPr>
                <w:sz w:val="20"/>
                <w:szCs w:val="20"/>
              </w:rPr>
            </w:pPr>
          </w:p>
        </w:tc>
        <w:tc>
          <w:tcPr>
            <w:tcW w:w="1387" w:type="dxa"/>
            <w:tcBorders>
              <w:top w:val="single" w:sz="4" w:space="0" w:color="auto"/>
              <w:bottom w:val="single" w:sz="4" w:space="0" w:color="auto"/>
            </w:tcBorders>
            <w:vAlign w:val="center"/>
          </w:tcPr>
          <w:p w14:paraId="32FC2519" w14:textId="77777777" w:rsidR="00E97EBD" w:rsidRPr="008B69B7" w:rsidRDefault="00E97EBD" w:rsidP="0029492A">
            <w:pPr>
              <w:pStyle w:val="TableText"/>
              <w:spacing w:line="240" w:lineRule="auto"/>
              <w:ind w:right="454"/>
              <w:jc w:val="right"/>
              <w:rPr>
                <w:sz w:val="20"/>
                <w:szCs w:val="20"/>
              </w:rPr>
            </w:pPr>
          </w:p>
        </w:tc>
        <w:tc>
          <w:tcPr>
            <w:tcW w:w="1387" w:type="dxa"/>
            <w:tcBorders>
              <w:top w:val="single" w:sz="4" w:space="0" w:color="auto"/>
              <w:bottom w:val="single" w:sz="4" w:space="0" w:color="auto"/>
            </w:tcBorders>
            <w:vAlign w:val="center"/>
          </w:tcPr>
          <w:p w14:paraId="0E28062E" w14:textId="77777777" w:rsidR="00E97EBD" w:rsidRPr="0072221C" w:rsidRDefault="00E97EBD" w:rsidP="0029492A">
            <w:pPr>
              <w:ind w:right="477"/>
              <w:jc w:val="right"/>
              <w:rPr>
                <w:rFonts w:cs="TimesLTStd-Roman"/>
                <w:color w:val="000000"/>
                <w:sz w:val="20"/>
                <w:szCs w:val="20"/>
              </w:rPr>
            </w:pPr>
            <w:r>
              <w:rPr>
                <w:rFonts w:cs="TimesLTStd-Roman"/>
                <w:color w:val="000000"/>
                <w:sz w:val="20"/>
                <w:szCs w:val="20"/>
              </w:rPr>
              <w:t>9</w:t>
            </w:r>
            <w:r w:rsidRPr="0072221C">
              <w:rPr>
                <w:rFonts w:cs="TimesLTStd-Roman"/>
                <w:color w:val="000000"/>
                <w:sz w:val="20"/>
                <w:szCs w:val="20"/>
              </w:rPr>
              <w:t>89</w:t>
            </w:r>
          </w:p>
        </w:tc>
        <w:tc>
          <w:tcPr>
            <w:tcW w:w="1387" w:type="dxa"/>
            <w:tcBorders>
              <w:top w:val="single" w:sz="4" w:space="0" w:color="auto"/>
              <w:bottom w:val="single" w:sz="4" w:space="0" w:color="auto"/>
            </w:tcBorders>
            <w:vAlign w:val="center"/>
          </w:tcPr>
          <w:p w14:paraId="3081BAE0" w14:textId="77777777" w:rsidR="00E97EBD" w:rsidRPr="0072221C" w:rsidRDefault="00E97EBD" w:rsidP="0029492A">
            <w:pPr>
              <w:ind w:right="461" w:firstLine="16"/>
              <w:jc w:val="right"/>
              <w:rPr>
                <w:rFonts w:cs="TimesLTStd-Roman"/>
                <w:color w:val="000000"/>
                <w:sz w:val="20"/>
                <w:szCs w:val="20"/>
              </w:rPr>
            </w:pPr>
            <w:r w:rsidRPr="0072221C">
              <w:rPr>
                <w:rFonts w:cs="TimesLTStd-Roman"/>
                <w:color w:val="000000"/>
                <w:sz w:val="20"/>
                <w:szCs w:val="20"/>
              </w:rPr>
              <w:t>1</w:t>
            </w:r>
            <w:r>
              <w:rPr>
                <w:rFonts w:cs="TimesLTStd-Roman"/>
                <w:color w:val="000000"/>
                <w:sz w:val="20"/>
                <w:szCs w:val="20"/>
              </w:rPr>
              <w:t>,</w:t>
            </w:r>
            <w:r w:rsidRPr="0072221C">
              <w:rPr>
                <w:rFonts w:cs="TimesLTStd-Roman"/>
                <w:color w:val="000000"/>
                <w:sz w:val="20"/>
                <w:szCs w:val="20"/>
              </w:rPr>
              <w:t>658</w:t>
            </w:r>
          </w:p>
        </w:tc>
      </w:tr>
    </w:tbl>
    <w:p w14:paraId="7D522311" w14:textId="284F6CC1" w:rsidR="00E97EBD" w:rsidRPr="008B69B7" w:rsidRDefault="00E97EBD" w:rsidP="00851ABD">
      <w:pPr>
        <w:pStyle w:val="TableNotes"/>
        <w:ind w:right="-68"/>
        <w:rPr>
          <w:sz w:val="20"/>
          <w:szCs w:val="20"/>
        </w:rPr>
      </w:pPr>
      <w:r w:rsidRPr="008B69B7">
        <w:rPr>
          <w:i/>
          <w:sz w:val="20"/>
          <w:szCs w:val="20"/>
        </w:rPr>
        <w:t>Note:</w:t>
      </w:r>
      <w:r w:rsidRPr="008B69B7">
        <w:rPr>
          <w:sz w:val="20"/>
          <w:szCs w:val="20"/>
        </w:rPr>
        <w:t xml:space="preserve"> </w:t>
      </w:r>
      <w:r>
        <w:rPr>
          <w:sz w:val="20"/>
          <w:szCs w:val="20"/>
        </w:rPr>
        <w:t>T</w:t>
      </w:r>
      <w:r w:rsidRPr="008B69B7">
        <w:rPr>
          <w:sz w:val="20"/>
          <w:szCs w:val="20"/>
        </w:rPr>
        <w:t xml:space="preserve">arget numbers </w:t>
      </w:r>
      <w:r>
        <w:rPr>
          <w:sz w:val="20"/>
          <w:szCs w:val="20"/>
        </w:rPr>
        <w:t>ar</w:t>
      </w:r>
      <w:r w:rsidRPr="008B69B7">
        <w:rPr>
          <w:sz w:val="20"/>
          <w:szCs w:val="20"/>
        </w:rPr>
        <w:t xml:space="preserve">e from </w:t>
      </w:r>
      <w:r w:rsidRPr="00851C38">
        <w:rPr>
          <w:sz w:val="20"/>
          <w:szCs w:val="20"/>
        </w:rPr>
        <w:t xml:space="preserve">Department of Education, Employment and Workplace Relations </w:t>
      </w:r>
      <w:r w:rsidRPr="008B69B7">
        <w:rPr>
          <w:sz w:val="20"/>
          <w:szCs w:val="20"/>
        </w:rPr>
        <w:t xml:space="preserve">(2011). Population statistics </w:t>
      </w:r>
      <w:r>
        <w:rPr>
          <w:sz w:val="20"/>
          <w:szCs w:val="20"/>
        </w:rPr>
        <w:t>ar</w:t>
      </w:r>
      <w:r w:rsidRPr="008B69B7">
        <w:rPr>
          <w:sz w:val="20"/>
          <w:szCs w:val="20"/>
        </w:rPr>
        <w:t>e from the 2011 Australian Census</w:t>
      </w:r>
      <w:r>
        <w:rPr>
          <w:sz w:val="20"/>
          <w:szCs w:val="20"/>
        </w:rPr>
        <w:t>.</w:t>
      </w:r>
      <w:r w:rsidRPr="008B69B7">
        <w:rPr>
          <w:sz w:val="20"/>
          <w:szCs w:val="20"/>
        </w:rPr>
        <w:t xml:space="preserve"> </w:t>
      </w:r>
      <w:r>
        <w:rPr>
          <w:sz w:val="20"/>
          <w:szCs w:val="20"/>
        </w:rPr>
        <w:t>The</w:t>
      </w:r>
      <w:r w:rsidR="007277E2">
        <w:rPr>
          <w:sz w:val="20"/>
          <w:szCs w:val="20"/>
        </w:rPr>
        <w:t>re are no</w:t>
      </w:r>
      <w:r>
        <w:rPr>
          <w:sz w:val="20"/>
          <w:szCs w:val="20"/>
        </w:rPr>
        <w:t xml:space="preserve"> </w:t>
      </w:r>
      <w:r w:rsidR="007277E2" w:rsidRPr="008B69B7">
        <w:rPr>
          <w:sz w:val="20"/>
          <w:szCs w:val="20"/>
        </w:rPr>
        <w:t xml:space="preserve">publicly available census data </w:t>
      </w:r>
      <w:r w:rsidR="007277E2">
        <w:rPr>
          <w:sz w:val="20"/>
          <w:szCs w:val="20"/>
        </w:rPr>
        <w:t xml:space="preserve">on the </w:t>
      </w:r>
      <w:r w:rsidRPr="008B69B7">
        <w:rPr>
          <w:sz w:val="20"/>
          <w:szCs w:val="20"/>
        </w:rPr>
        <w:t xml:space="preserve">population </w:t>
      </w:r>
      <w:r w:rsidR="007277E2">
        <w:rPr>
          <w:sz w:val="20"/>
          <w:szCs w:val="20"/>
        </w:rPr>
        <w:t>of</w:t>
      </w:r>
      <w:r w:rsidRPr="008B69B7">
        <w:rPr>
          <w:sz w:val="20"/>
          <w:szCs w:val="20"/>
        </w:rPr>
        <w:t xml:space="preserve"> Katherine Town Camps</w:t>
      </w:r>
      <w:r w:rsidR="007277E2">
        <w:rPr>
          <w:sz w:val="20"/>
          <w:szCs w:val="20"/>
        </w:rPr>
        <w:t xml:space="preserve">, </w:t>
      </w:r>
      <w:r w:rsidR="007277E2" w:rsidRPr="007277E2">
        <w:rPr>
          <w:sz w:val="20"/>
          <w:szCs w:val="20"/>
        </w:rPr>
        <w:t xml:space="preserve">an exclusively </w:t>
      </w:r>
      <w:proofErr w:type="gramStart"/>
      <w:r w:rsidR="007277E2" w:rsidRPr="007277E2">
        <w:rPr>
          <w:sz w:val="20"/>
          <w:szCs w:val="20"/>
        </w:rPr>
        <w:t>Indigenous</w:t>
      </w:r>
      <w:proofErr w:type="gramEnd"/>
      <w:r w:rsidR="007277E2" w:rsidRPr="007277E2">
        <w:rPr>
          <w:sz w:val="20"/>
          <w:szCs w:val="20"/>
        </w:rPr>
        <w:t xml:space="preserve"> community located near Katherine Township.</w:t>
      </w:r>
    </w:p>
    <w:p w14:paraId="53184C12" w14:textId="77777777" w:rsidR="00E97EBD" w:rsidRDefault="00E97EBD" w:rsidP="00E97EBD">
      <w:pPr>
        <w:spacing w:after="240"/>
        <w:contextualSpacing/>
      </w:pPr>
    </w:p>
    <w:p w14:paraId="4424E62F" w14:textId="4E1951A6" w:rsidR="003139D2" w:rsidRDefault="003139D2" w:rsidP="00E334CC">
      <w:pPr>
        <w:spacing w:after="120" w:line="360" w:lineRule="auto"/>
        <w:ind w:firstLine="204"/>
        <w:jc w:val="both"/>
      </w:pPr>
      <w:r>
        <w:t>In it</w:t>
      </w:r>
      <w:r w:rsidRPr="00E97EBD">
        <w:t>s first year</w:t>
      </w:r>
      <w:r>
        <w:t>, SEAM formally</w:t>
      </w:r>
      <w:r w:rsidRPr="00E97EBD">
        <w:t xml:space="preserve"> </w:t>
      </w:r>
      <w:r>
        <w:t>t</w:t>
      </w:r>
      <w:r w:rsidRPr="00E97EBD">
        <w:t xml:space="preserve">argeted </w:t>
      </w:r>
      <w:r>
        <w:t xml:space="preserve">only </w:t>
      </w:r>
      <w:r w:rsidRPr="00E97EBD">
        <w:t xml:space="preserve">a small </w:t>
      </w:r>
      <w:r>
        <w:t>number</w:t>
      </w:r>
      <w:r w:rsidRPr="00E97EBD">
        <w:t xml:space="preserve"> of parents receiving </w:t>
      </w:r>
      <w:proofErr w:type="spellStart"/>
      <w:r w:rsidRPr="00E97EBD">
        <w:t>Centrelink</w:t>
      </w:r>
      <w:proofErr w:type="spellEnd"/>
      <w:r w:rsidRPr="00E97EBD">
        <w:t xml:space="preserve"> (welfare) payments</w:t>
      </w:r>
      <w:r>
        <w:t>,</w:t>
      </w:r>
      <w:r w:rsidRPr="00E97EBD">
        <w:t xml:space="preserve"> </w:t>
      </w:r>
      <w:r>
        <w:t xml:space="preserve">and </w:t>
      </w:r>
      <w:r w:rsidRPr="00E97EBD">
        <w:t>with children in one of fourteen schools in six trial areas</w:t>
      </w:r>
      <w:r>
        <w:t>, comprising 989 parents and 1658 children, a small fraction of the Indigenous population of the Northern Territory (</w:t>
      </w:r>
      <w:r w:rsidRPr="00E97EBD">
        <w:t>Table 2</w:t>
      </w:r>
      <w:r>
        <w:t>). Yet it was widely perceived as applying to the Indigenous population of the Northern Territory</w:t>
      </w:r>
      <w:r w:rsidR="00851ABD">
        <w:t xml:space="preserve"> as a whole</w:t>
      </w:r>
      <w:r>
        <w:t>. A</w:t>
      </w:r>
      <w:r w:rsidRPr="006C109A">
        <w:t xml:space="preserve"> report published by the Department of Employment, Education and Workplace Relations indicate</w:t>
      </w:r>
      <w:r>
        <w:t>d</w:t>
      </w:r>
      <w:r w:rsidRPr="006C109A">
        <w:t xml:space="preserve"> </w:t>
      </w:r>
      <w:r>
        <w:t xml:space="preserve">a </w:t>
      </w:r>
      <w:r w:rsidRPr="006C109A">
        <w:t xml:space="preserve">high </w:t>
      </w:r>
      <w:r>
        <w:t xml:space="preserve">degree of </w:t>
      </w:r>
      <w:r w:rsidRPr="006C109A">
        <w:t xml:space="preserve">awareness of the SEAM program among </w:t>
      </w:r>
      <w:r>
        <w:t xml:space="preserve">Indigenous </w:t>
      </w:r>
      <w:r w:rsidRPr="006C109A">
        <w:t>parents</w:t>
      </w:r>
      <w:r>
        <w:t xml:space="preserve"> in the Northern Territory, while observing that</w:t>
      </w:r>
      <w:r w:rsidRPr="006C109A">
        <w:t xml:space="preserve"> “parents and communities had limited understanding of the details of SEAM, and this was compounded by misinformation</w:t>
      </w:r>
      <w:r>
        <w:t>.</w:t>
      </w:r>
      <w:r w:rsidRPr="006C109A">
        <w:t>”</w:t>
      </w:r>
      <w:r w:rsidR="00851ABD">
        <w:t xml:space="preserve"> </w:t>
      </w:r>
      <w:r w:rsidR="00851ABD" w:rsidRPr="006C109A">
        <w:t>(DEEWR</w:t>
      </w:r>
      <w:r w:rsidR="00851ABD">
        <w:t>, 2011</w:t>
      </w:r>
      <w:r w:rsidR="00851ABD" w:rsidRPr="006C109A">
        <w:t>)</w:t>
      </w:r>
      <w:r w:rsidR="00851ABD">
        <w:t xml:space="preserve"> It cites </w:t>
      </w:r>
      <w:r w:rsidRPr="00967E82">
        <w:t>common misconceptions among parents and com</w:t>
      </w:r>
      <w:r w:rsidRPr="006C109A">
        <w:t>munity members</w:t>
      </w:r>
      <w:r>
        <w:t>, noting they incorrectly believed that:</w:t>
      </w:r>
    </w:p>
    <w:p w14:paraId="569F68DF" w14:textId="77777777" w:rsidR="003139D2" w:rsidRPr="006C109A" w:rsidRDefault="003139D2" w:rsidP="00E334CC">
      <w:pPr>
        <w:pStyle w:val="ListBullet"/>
        <w:keepLines/>
        <w:widowControl w:val="0"/>
        <w:ind w:left="709" w:hanging="357"/>
      </w:pPr>
      <w:r>
        <w:t>SEAM</w:t>
      </w:r>
      <w:r w:rsidRPr="006C109A">
        <w:t xml:space="preserve"> was directed </w:t>
      </w:r>
      <w:r>
        <w:t xml:space="preserve">in general </w:t>
      </w:r>
      <w:r w:rsidRPr="006C109A">
        <w:t xml:space="preserve">at Indigenous children in remote areas. </w:t>
      </w:r>
    </w:p>
    <w:p w14:paraId="3C871E03" w14:textId="77777777" w:rsidR="003139D2" w:rsidRPr="006C109A" w:rsidRDefault="003139D2" w:rsidP="00E334CC">
      <w:pPr>
        <w:numPr>
          <w:ilvl w:val="0"/>
          <w:numId w:val="17"/>
        </w:numPr>
        <w:spacing w:line="360" w:lineRule="auto"/>
        <w:ind w:left="709"/>
        <w:jc w:val="both"/>
      </w:pPr>
      <w:r w:rsidRPr="006C109A">
        <w:t xml:space="preserve">All </w:t>
      </w:r>
      <w:r>
        <w:t>child-</w:t>
      </w:r>
      <w:proofErr w:type="spellStart"/>
      <w:r w:rsidRPr="006C109A">
        <w:t>carers</w:t>
      </w:r>
      <w:proofErr w:type="spellEnd"/>
      <w:r w:rsidRPr="006C109A">
        <w:t xml:space="preserve"> (including grandmothers and aunts) would have their payments suspended if they were caring for a truant child. </w:t>
      </w:r>
    </w:p>
    <w:p w14:paraId="26971B41" w14:textId="77777777" w:rsidR="003139D2" w:rsidRPr="006C109A" w:rsidRDefault="003139D2" w:rsidP="00E334CC">
      <w:pPr>
        <w:numPr>
          <w:ilvl w:val="0"/>
          <w:numId w:val="17"/>
        </w:numPr>
        <w:spacing w:line="360" w:lineRule="auto"/>
        <w:ind w:left="709"/>
        <w:jc w:val="both"/>
      </w:pPr>
      <w:r w:rsidRPr="006C109A">
        <w:lastRenderedPageBreak/>
        <w:t>Indigenous families subject to SEAM includ</w:t>
      </w:r>
      <w:r>
        <w:t>ed</w:t>
      </w:r>
      <w:r w:rsidRPr="006C109A">
        <w:t xml:space="preserve"> wage</w:t>
      </w:r>
      <w:r>
        <w:t>-earning</w:t>
      </w:r>
      <w:r w:rsidRPr="006C109A">
        <w:t xml:space="preserve"> families and families participating in CDEP. </w:t>
      </w:r>
    </w:p>
    <w:p w14:paraId="0DFD4F01" w14:textId="77777777" w:rsidR="003139D2" w:rsidRPr="006C109A" w:rsidRDefault="003139D2" w:rsidP="00E334CC">
      <w:pPr>
        <w:numPr>
          <w:ilvl w:val="0"/>
          <w:numId w:val="17"/>
        </w:numPr>
        <w:spacing w:after="240" w:line="360" w:lineRule="auto"/>
        <w:ind w:left="709" w:hanging="357"/>
        <w:jc w:val="both"/>
      </w:pPr>
      <w:r w:rsidRPr="006C109A">
        <w:t>Non-compliance with SEAM would trigger immediate suspension of payments</w:t>
      </w:r>
      <w:r>
        <w:t xml:space="preserve"> (where </w:t>
      </w:r>
      <w:r w:rsidRPr="006C109A">
        <w:t xml:space="preserve">a compliance period was actually </w:t>
      </w:r>
      <w:r>
        <w:t>required)</w:t>
      </w:r>
      <w:r w:rsidRPr="006C109A">
        <w:t xml:space="preserve">. </w:t>
      </w:r>
    </w:p>
    <w:p w14:paraId="08076AF5" w14:textId="30941728" w:rsidR="00851ABD" w:rsidRDefault="00851ABD" w:rsidP="00E334CC">
      <w:pPr>
        <w:spacing w:line="360" w:lineRule="auto"/>
        <w:ind w:firstLine="352"/>
        <w:jc w:val="both"/>
      </w:pPr>
      <w:r>
        <w:t xml:space="preserve">As a result, </w:t>
      </w:r>
      <w:r w:rsidR="003139D2">
        <w:t>SEAM</w:t>
      </w:r>
      <w:r>
        <w:t xml:space="preserve"> effectively raised school attendance </w:t>
      </w:r>
      <w:r w:rsidR="003139D2" w:rsidRPr="006C109A">
        <w:t xml:space="preserve"> not only among its target population </w:t>
      </w:r>
      <w:r w:rsidR="003139D2" w:rsidRPr="0022323A">
        <w:rPr>
          <w:i/>
          <w:iCs/>
        </w:rPr>
        <w:t xml:space="preserve">but </w:t>
      </w:r>
      <w:r w:rsidR="003139D2" w:rsidRPr="00967E82">
        <w:rPr>
          <w:i/>
          <w:iCs/>
        </w:rPr>
        <w:t>among the entire Indigenous population of the Northern Territory</w:t>
      </w:r>
      <w:r>
        <w:t>, as evident from Figure 1, which traces annual attendance rates for all students in Northern Territory schools in 2008-2011, separately for the 14 schools formally targeted by SEAM, and for all other schools.</w:t>
      </w:r>
      <w:r>
        <w:rPr>
          <w:rStyle w:val="FootnoteReference"/>
        </w:rPr>
        <w:footnoteReference w:id="12"/>
      </w:r>
      <w:r>
        <w:t xml:space="preserve"> Both groups of schools exhibit an increase in attendance rates in 2009</w:t>
      </w:r>
      <w:r w:rsidRPr="00851ABD">
        <w:t xml:space="preserve"> </w:t>
      </w:r>
      <w:r>
        <w:t>and a subsequent tapering off, the SEAM schools beginning from a lower base rate of attendance and experience a slightly larger initial gain. The similarity of the two graphs supports the argument that parents who were not nominally targeted by SEAM behaved as if they were targeted.</w:t>
      </w:r>
    </w:p>
    <w:p w14:paraId="4F61EBBA" w14:textId="3DA18D99" w:rsidR="00463C9D" w:rsidRPr="005E6070" w:rsidRDefault="00463C9D" w:rsidP="00697374">
      <w:pPr>
        <w:pStyle w:val="TableTitle"/>
        <w:keepNext/>
        <w:widowControl w:val="0"/>
        <w:tabs>
          <w:tab w:val="left" w:pos="7513"/>
          <w:tab w:val="left" w:pos="7655"/>
        </w:tabs>
        <w:spacing w:before="480"/>
        <w:ind w:right="125"/>
      </w:pPr>
      <w:proofErr w:type="gramStart"/>
      <w:r w:rsidRPr="005E6070">
        <w:lastRenderedPageBreak/>
        <w:t>Figure 1.</w:t>
      </w:r>
      <w:proofErr w:type="gramEnd"/>
      <w:r w:rsidRPr="005E6070">
        <w:t xml:space="preserve"> </w:t>
      </w:r>
      <w:r w:rsidR="00566F89" w:rsidRPr="005E6070">
        <w:t xml:space="preserve">Northern Territory </w:t>
      </w:r>
      <w:r w:rsidR="00566F89">
        <w:t>school a</w:t>
      </w:r>
      <w:r w:rsidRPr="005E6070">
        <w:t>ttendance rates, all students,</w:t>
      </w:r>
      <w:r w:rsidR="00492CBC" w:rsidRPr="005E6070">
        <w:t xml:space="preserve"> </w:t>
      </w:r>
      <w:r w:rsidRPr="005E6070">
        <w:t>schools targeted by SEAM</w:t>
      </w:r>
      <w:r w:rsidR="007C7F7C">
        <w:t xml:space="preserve"> </w:t>
      </w:r>
      <w:r w:rsidRPr="005E6070">
        <w:t>and non-targeted schools, 2008-2011</w:t>
      </w:r>
    </w:p>
    <w:p w14:paraId="4D6A1F4E" w14:textId="7B3FDABC" w:rsidR="00463C9D" w:rsidRDefault="00463C9D" w:rsidP="00463C9D">
      <w:r>
        <w:rPr>
          <w:noProof/>
          <w:lang w:bidi="he-IL"/>
        </w:rPr>
        <w:drawing>
          <wp:inline distT="0" distB="0" distL="0" distR="0" wp14:anchorId="5BB7519C" wp14:editId="56BFD57D">
            <wp:extent cx="4462272" cy="2421331"/>
            <wp:effectExtent l="0" t="0" r="14605" b="171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1ECFC7" w14:textId="1F915A27" w:rsidR="00F8014A" w:rsidRPr="00463C9D" w:rsidRDefault="00F8014A" w:rsidP="00F8014A">
      <w:pPr>
        <w:pStyle w:val="Caption"/>
        <w:ind w:left="720"/>
        <w:rPr>
          <w:sz w:val="22"/>
          <w:szCs w:val="22"/>
        </w:rPr>
      </w:pPr>
      <w:r w:rsidRPr="00463C9D">
        <w:rPr>
          <w:i/>
          <w:iCs/>
          <w:sz w:val="22"/>
          <w:szCs w:val="22"/>
        </w:rPr>
        <w:t>Source</w:t>
      </w:r>
      <w:r w:rsidRPr="00463C9D">
        <w:rPr>
          <w:sz w:val="22"/>
          <w:szCs w:val="22"/>
        </w:rPr>
        <w:t xml:space="preserve">: </w:t>
      </w:r>
      <w:r w:rsidR="006E6F46">
        <w:rPr>
          <w:sz w:val="22"/>
          <w:szCs w:val="22"/>
        </w:rPr>
        <w:t>Authors</w:t>
      </w:r>
      <w:r w:rsidR="007722B4">
        <w:rPr>
          <w:sz w:val="22"/>
          <w:szCs w:val="22"/>
        </w:rPr>
        <w:t>’</w:t>
      </w:r>
      <w:r w:rsidR="006E6F46">
        <w:rPr>
          <w:sz w:val="22"/>
          <w:szCs w:val="22"/>
        </w:rPr>
        <w:t xml:space="preserve"> calculations using data from </w:t>
      </w:r>
      <w:r w:rsidRPr="00463C9D">
        <w:rPr>
          <w:sz w:val="22"/>
          <w:szCs w:val="22"/>
        </w:rPr>
        <w:t>My</w:t>
      </w:r>
      <w:r w:rsidR="006E6F46">
        <w:rPr>
          <w:sz w:val="22"/>
          <w:szCs w:val="22"/>
        </w:rPr>
        <w:t xml:space="preserve"> </w:t>
      </w:r>
      <w:r w:rsidRPr="00463C9D">
        <w:rPr>
          <w:sz w:val="22"/>
          <w:szCs w:val="22"/>
        </w:rPr>
        <w:t>School</w:t>
      </w:r>
      <w:r w:rsidR="006E6F46">
        <w:rPr>
          <w:sz w:val="22"/>
          <w:szCs w:val="22"/>
        </w:rPr>
        <w:t xml:space="preserve"> Australia (</w:t>
      </w:r>
      <w:r w:rsidR="006E6F46" w:rsidRPr="006E6F46">
        <w:rPr>
          <w:sz w:val="22"/>
          <w:szCs w:val="22"/>
        </w:rPr>
        <w:t>https://www.myschool.edu.au/</w:t>
      </w:r>
      <w:r w:rsidR="006E6F46">
        <w:rPr>
          <w:sz w:val="22"/>
          <w:szCs w:val="22"/>
        </w:rPr>
        <w:t>).</w:t>
      </w:r>
    </w:p>
    <w:p w14:paraId="26852DD3" w14:textId="77777777" w:rsidR="00463C9D" w:rsidRDefault="00463C9D" w:rsidP="00463C9D"/>
    <w:p w14:paraId="58FD44BE" w14:textId="262AACD9" w:rsidR="00463C9D" w:rsidRDefault="00492CBC" w:rsidP="00E334CC">
      <w:pPr>
        <w:spacing w:line="360" w:lineRule="auto"/>
        <w:ind w:firstLine="360"/>
        <w:jc w:val="both"/>
      </w:pPr>
      <w:r>
        <w:t xml:space="preserve">We attribute the </w:t>
      </w:r>
      <w:r w:rsidR="00463C9D">
        <w:t xml:space="preserve">tapering off of attendance rates after 2009 </w:t>
      </w:r>
      <w:r>
        <w:t xml:space="preserve">to </w:t>
      </w:r>
      <w:r w:rsidR="00463C9D">
        <w:t>negligible enforcement of the threat to withhold welfare payments</w:t>
      </w:r>
      <w:r>
        <w:t xml:space="preserve"> </w:t>
      </w:r>
      <w:r w:rsidRPr="006C109A">
        <w:t>(DEEWR, 2011)</w:t>
      </w:r>
      <w:r w:rsidR="00463C9D">
        <w:t>. Of the 989 parents in th</w:t>
      </w:r>
      <w:r>
        <w:t>e targeted group</w:t>
      </w:r>
      <w:r w:rsidR="00463C9D">
        <w:t>,</w:t>
      </w:r>
      <w:r w:rsidR="00463C9D" w:rsidRPr="006C109A">
        <w:t xml:space="preserve"> 918 (1604 children) were sent enrolment notification letters, which requested that they provide their child’s school enrolment details to </w:t>
      </w:r>
      <w:proofErr w:type="spellStart"/>
      <w:r w:rsidR="00463C9D" w:rsidRPr="006C109A">
        <w:t>Centrelink</w:t>
      </w:r>
      <w:proofErr w:type="spellEnd"/>
      <w:r w:rsidR="00463C9D" w:rsidRPr="006C109A">
        <w:t xml:space="preserve"> within 14 days. </w:t>
      </w:r>
      <w:r w:rsidR="00463C9D">
        <w:t>Of these—</w:t>
      </w:r>
      <w:r w:rsidR="00463C9D" w:rsidRPr="006C109A">
        <w:t xml:space="preserve">the DEEWR evaluation report </w:t>
      </w:r>
      <w:r w:rsidR="00463C9D">
        <w:t>notes—</w:t>
      </w:r>
      <w:r w:rsidR="00463C9D" w:rsidRPr="006C109A">
        <w:t>170 parents (286 children)</w:t>
      </w:r>
      <w:r w:rsidR="00463C9D">
        <w:t xml:space="preserve"> were non-compliant; and of </w:t>
      </w:r>
      <w:r w:rsidR="00463C9D" w:rsidRPr="006C109A">
        <w:t xml:space="preserve">these, 56 parents (84 children) were sent enrolment warning notices, the final step before having their benefits suspended. The majority complied but eleven chose to move out of the </w:t>
      </w:r>
      <w:r w:rsidR="00463C9D">
        <w:t>target area;</w:t>
      </w:r>
      <w:r w:rsidR="00463C9D" w:rsidRPr="006C109A">
        <w:t xml:space="preserve"> </w:t>
      </w:r>
      <w:r w:rsidR="00463C9D">
        <w:t>e</w:t>
      </w:r>
      <w:r w:rsidR="00463C9D" w:rsidRPr="006C109A">
        <w:t xml:space="preserve">ffectively this was the most severe sanction for non-compliance in 2009. The threats implicit in the information campaign that accompanied </w:t>
      </w:r>
      <w:r w:rsidR="00F56224">
        <w:t>SEAM’s</w:t>
      </w:r>
      <w:r w:rsidR="00463C9D">
        <w:t xml:space="preserve"> initial </w:t>
      </w:r>
      <w:r w:rsidR="00463C9D" w:rsidRPr="006C109A">
        <w:t>implementation</w:t>
      </w:r>
      <w:r w:rsidR="00463C9D">
        <w:t xml:space="preserve"> w</w:t>
      </w:r>
      <w:r>
        <w:t>ere</w:t>
      </w:r>
      <w:r w:rsidR="00463C9D">
        <w:t xml:space="preserve"> highly credible and effective at the time, </w:t>
      </w:r>
      <w:r>
        <w:t xml:space="preserve">but </w:t>
      </w:r>
      <w:r w:rsidR="00463C9D" w:rsidRPr="006C109A">
        <w:t>were not carried out</w:t>
      </w:r>
      <w:r w:rsidR="00463C9D">
        <w:t xml:space="preserve"> in practice</w:t>
      </w:r>
      <w:r w:rsidR="00463C9D" w:rsidRPr="006C109A">
        <w:t>.</w:t>
      </w:r>
    </w:p>
    <w:p w14:paraId="184E33CB" w14:textId="77777777" w:rsidR="00D64FFA" w:rsidRPr="006C109A" w:rsidRDefault="00D64FFA" w:rsidP="006C109A"/>
    <w:p w14:paraId="0B25B031" w14:textId="77777777" w:rsidR="006C109A" w:rsidRPr="006C109A" w:rsidRDefault="006C109A" w:rsidP="006C109A">
      <w:pPr>
        <w:pStyle w:val="Heading1"/>
      </w:pPr>
      <w:r w:rsidRPr="006C109A">
        <w:lastRenderedPageBreak/>
        <w:t>4. The impact of SEAM on educational outcomes: Descriptive statistics</w:t>
      </w:r>
    </w:p>
    <w:p w14:paraId="696F98ED" w14:textId="77777777" w:rsidR="00E334CC" w:rsidRDefault="00492CBC" w:rsidP="00E334CC">
      <w:pPr>
        <w:tabs>
          <w:tab w:val="left" w:pos="2430"/>
        </w:tabs>
        <w:spacing w:after="120" w:line="360" w:lineRule="auto"/>
        <w:ind w:firstLine="204"/>
        <w:jc w:val="both"/>
      </w:pPr>
      <w:r w:rsidRPr="006C109A">
        <w:t xml:space="preserve">We </w:t>
      </w:r>
      <w:r w:rsidR="00F56224" w:rsidRPr="006C109A">
        <w:t xml:space="preserve">estimate the impact of SEAM on </w:t>
      </w:r>
      <w:r w:rsidR="00F56224">
        <w:t xml:space="preserve">school attendance </w:t>
      </w:r>
      <w:r w:rsidR="00F56224" w:rsidRPr="006C109A">
        <w:t xml:space="preserve">among Indigenous children in the Northern Territory </w:t>
      </w:r>
      <w:r w:rsidR="00F56224">
        <w:t xml:space="preserve">through its impact </w:t>
      </w:r>
      <w:r w:rsidRPr="006C109A">
        <w:t>on NAPLAN participation rates</w:t>
      </w:r>
      <w:r w:rsidR="00BC31CE">
        <w:t xml:space="preserve">, </w:t>
      </w:r>
      <w:r w:rsidR="00F56224">
        <w:t xml:space="preserve">while also </w:t>
      </w:r>
      <w:r w:rsidR="00BC31CE">
        <w:t>follow</w:t>
      </w:r>
      <w:r w:rsidR="00F56224">
        <w:t>ing how this affected</w:t>
      </w:r>
      <w:r w:rsidR="00BC31CE">
        <w:t xml:space="preserve"> pass rates</w:t>
      </w:r>
      <w:r>
        <w:t>. We use</w:t>
      </w:r>
      <w:r w:rsidR="00F56224" w:rsidRPr="006C109A">
        <w:t xml:space="preserve"> publicly available data </w:t>
      </w:r>
      <w:r w:rsidR="00F56224">
        <w:t>on Indigenous participation aggregated at the state or territory level</w:t>
      </w:r>
      <w:r>
        <w:t xml:space="preserve">, rather than data on </w:t>
      </w:r>
      <w:r w:rsidR="0069458C">
        <w:t xml:space="preserve">school </w:t>
      </w:r>
      <w:r>
        <w:t xml:space="preserve">attendance </w:t>
      </w:r>
      <w:r w:rsidR="00F8014A">
        <w:t xml:space="preserve">both because </w:t>
      </w:r>
      <w:r w:rsidR="0069458C">
        <w:t>we see it as</w:t>
      </w:r>
      <w:r w:rsidR="00F8014A">
        <w:t xml:space="preserve"> a relevant indicator of active participation in learning, and because publicly available data </w:t>
      </w:r>
      <w:r>
        <w:t xml:space="preserve">on </w:t>
      </w:r>
      <w:r w:rsidR="00F8014A">
        <w:t xml:space="preserve">attendance </w:t>
      </w:r>
      <w:r w:rsidR="00BC31CE">
        <w:t>is not broken down</w:t>
      </w:r>
      <w:r>
        <w:t xml:space="preserve"> by </w:t>
      </w:r>
      <w:r w:rsidR="00F8014A">
        <w:t xml:space="preserve">Indigenous status or grade level, </w:t>
      </w:r>
      <w:r w:rsidR="00BC31CE">
        <w:t xml:space="preserve">appearing </w:t>
      </w:r>
      <w:r w:rsidR="0069458C">
        <w:t xml:space="preserve">only </w:t>
      </w:r>
      <w:r w:rsidR="00BC31CE">
        <w:t>as</w:t>
      </w:r>
      <w:r w:rsidR="00F8014A">
        <w:t xml:space="preserve"> a single number for each school as a whole</w:t>
      </w:r>
      <w:r>
        <w:t>.</w:t>
      </w:r>
      <w:r>
        <w:rPr>
          <w:rStyle w:val="FootnoteReference"/>
        </w:rPr>
        <w:footnoteReference w:id="13"/>
      </w:r>
    </w:p>
    <w:p w14:paraId="5B66ADAE" w14:textId="4A7F9513" w:rsidR="006C109A" w:rsidRPr="006C109A" w:rsidRDefault="006C109A" w:rsidP="00BC31CE">
      <w:pPr>
        <w:pStyle w:val="TableTitle"/>
        <w:keepNext/>
        <w:widowControl w:val="0"/>
        <w:spacing w:before="480" w:after="120"/>
        <w:ind w:right="539"/>
      </w:pPr>
      <w:r w:rsidRPr="006C109A">
        <w:t xml:space="preserve">Table 3—NAPLAN </w:t>
      </w:r>
      <w:r w:rsidR="007A6EBC">
        <w:t xml:space="preserve">participation rates by knowledge domain and population group, </w:t>
      </w:r>
      <w:r w:rsidRPr="006C109A">
        <w:t>averaged over grade levels,</w:t>
      </w:r>
      <w:r w:rsidR="007A6EBC">
        <w:t xml:space="preserve"> </w:t>
      </w:r>
      <w:r w:rsidRPr="006C109A">
        <w:t>%</w:t>
      </w:r>
    </w:p>
    <w:tbl>
      <w:tblPr>
        <w:tblW w:w="7380" w:type="dxa"/>
        <w:jc w:val="center"/>
        <w:tblLayout w:type="fixed"/>
        <w:tblLook w:val="04A0" w:firstRow="1" w:lastRow="0" w:firstColumn="1" w:lastColumn="0" w:noHBand="0" w:noVBand="1"/>
      </w:tblPr>
      <w:tblGrid>
        <w:gridCol w:w="646"/>
        <w:gridCol w:w="1122"/>
        <w:gridCol w:w="1122"/>
        <w:gridCol w:w="204"/>
        <w:gridCol w:w="919"/>
        <w:gridCol w:w="1122"/>
        <w:gridCol w:w="1122"/>
        <w:gridCol w:w="1123"/>
      </w:tblGrid>
      <w:tr w:rsidR="007A6EBC" w:rsidRPr="006C109A" w14:paraId="1EF73DDB" w14:textId="77777777" w:rsidTr="007A6EBC">
        <w:trPr>
          <w:trHeight w:hRule="exact" w:val="328"/>
          <w:jc w:val="center"/>
        </w:trPr>
        <w:tc>
          <w:tcPr>
            <w:tcW w:w="646" w:type="dxa"/>
            <w:tcBorders>
              <w:top w:val="double" w:sz="4" w:space="0" w:color="auto"/>
            </w:tcBorders>
          </w:tcPr>
          <w:p w14:paraId="0D21D650" w14:textId="77777777" w:rsidR="007A6EBC" w:rsidRPr="006C109A" w:rsidRDefault="007A6EBC" w:rsidP="006C109A">
            <w:pPr>
              <w:keepLines/>
              <w:widowControl w:val="0"/>
              <w:spacing w:line="180" w:lineRule="atLeast"/>
              <w:jc w:val="center"/>
              <w:rPr>
                <w:rFonts w:cs="TimesLTStd-Roman"/>
                <w:color w:val="000000"/>
                <w:szCs w:val="16"/>
              </w:rPr>
            </w:pPr>
          </w:p>
        </w:tc>
        <w:tc>
          <w:tcPr>
            <w:tcW w:w="2448" w:type="dxa"/>
            <w:gridSpan w:val="3"/>
            <w:tcBorders>
              <w:top w:val="double" w:sz="4" w:space="0" w:color="auto"/>
            </w:tcBorders>
            <w:vAlign w:val="bottom"/>
          </w:tcPr>
          <w:p w14:paraId="66277654" w14:textId="77777777" w:rsidR="007A6EBC" w:rsidRPr="006C109A" w:rsidRDefault="007A6EBC" w:rsidP="0029492A">
            <w:pPr>
              <w:keepLines/>
              <w:widowControl w:val="0"/>
              <w:spacing w:line="180" w:lineRule="atLeast"/>
              <w:jc w:val="center"/>
              <w:rPr>
                <w:rFonts w:cs="TimesLTStd-Roman"/>
                <w:color w:val="000000"/>
                <w:sz w:val="20"/>
                <w:szCs w:val="20"/>
              </w:rPr>
            </w:pPr>
          </w:p>
        </w:tc>
        <w:tc>
          <w:tcPr>
            <w:tcW w:w="4286" w:type="dxa"/>
            <w:gridSpan w:val="4"/>
            <w:tcBorders>
              <w:top w:val="double" w:sz="4" w:space="0" w:color="auto"/>
            </w:tcBorders>
            <w:vAlign w:val="bottom"/>
          </w:tcPr>
          <w:p w14:paraId="12F3685C" w14:textId="77777777" w:rsidR="007A6EBC" w:rsidRPr="006C109A" w:rsidRDefault="007A6EBC" w:rsidP="0029492A">
            <w:pPr>
              <w:keepLines/>
              <w:widowControl w:val="0"/>
              <w:spacing w:line="180" w:lineRule="atLeast"/>
              <w:jc w:val="center"/>
              <w:rPr>
                <w:rFonts w:cs="TimesLTStd-Roman"/>
                <w:color w:val="000000"/>
                <w:sz w:val="20"/>
                <w:szCs w:val="20"/>
              </w:rPr>
            </w:pPr>
          </w:p>
        </w:tc>
      </w:tr>
      <w:tr w:rsidR="007A6EBC" w:rsidRPr="006C109A" w14:paraId="159D03CA" w14:textId="77777777" w:rsidTr="007A6EBC">
        <w:trPr>
          <w:trHeight w:hRule="exact" w:val="248"/>
          <w:jc w:val="center"/>
        </w:trPr>
        <w:tc>
          <w:tcPr>
            <w:tcW w:w="646" w:type="dxa"/>
            <w:tcBorders>
              <w:right w:val="single" w:sz="4" w:space="0" w:color="auto"/>
            </w:tcBorders>
          </w:tcPr>
          <w:p w14:paraId="0E0CC963" w14:textId="77777777" w:rsidR="007A6EBC" w:rsidRPr="006C109A" w:rsidRDefault="007A6EBC" w:rsidP="006C109A">
            <w:pPr>
              <w:keepLines/>
              <w:widowControl w:val="0"/>
              <w:spacing w:line="180" w:lineRule="atLeast"/>
              <w:jc w:val="center"/>
              <w:rPr>
                <w:rFonts w:cs="TimesLTStd-Roman"/>
                <w:color w:val="000000"/>
                <w:szCs w:val="16"/>
              </w:rPr>
            </w:pPr>
          </w:p>
        </w:tc>
        <w:tc>
          <w:tcPr>
            <w:tcW w:w="3367" w:type="dxa"/>
            <w:gridSpan w:val="4"/>
            <w:tcBorders>
              <w:left w:val="single" w:sz="4" w:space="0" w:color="auto"/>
              <w:right w:val="single" w:sz="4" w:space="0" w:color="auto"/>
            </w:tcBorders>
            <w:vAlign w:val="bottom"/>
          </w:tcPr>
          <w:p w14:paraId="1B9691BD" w14:textId="77777777" w:rsidR="007A6EBC" w:rsidRPr="006C109A" w:rsidRDefault="007A6EBC" w:rsidP="007A6EBC">
            <w:pPr>
              <w:keepLines/>
              <w:widowControl w:val="0"/>
              <w:spacing w:line="180" w:lineRule="atLeast"/>
              <w:jc w:val="center"/>
              <w:rPr>
                <w:rFonts w:cs="TimesLTStd-Roman"/>
                <w:color w:val="000000"/>
                <w:sz w:val="20"/>
                <w:szCs w:val="20"/>
              </w:rPr>
            </w:pPr>
            <w:r>
              <w:rPr>
                <w:rFonts w:cs="TimesLTStd-Roman"/>
                <w:color w:val="000000"/>
                <w:sz w:val="20"/>
                <w:szCs w:val="20"/>
              </w:rPr>
              <w:t>Reading</w:t>
            </w:r>
          </w:p>
        </w:tc>
        <w:tc>
          <w:tcPr>
            <w:tcW w:w="3367" w:type="dxa"/>
            <w:gridSpan w:val="3"/>
            <w:tcBorders>
              <w:left w:val="single" w:sz="4" w:space="0" w:color="auto"/>
              <w:right w:val="single" w:sz="4" w:space="0" w:color="auto"/>
            </w:tcBorders>
            <w:vAlign w:val="bottom"/>
          </w:tcPr>
          <w:p w14:paraId="7A61D107" w14:textId="77777777" w:rsidR="007A6EBC" w:rsidRPr="006C109A" w:rsidRDefault="007A6EBC" w:rsidP="0029492A">
            <w:pPr>
              <w:keepLines/>
              <w:widowControl w:val="0"/>
              <w:spacing w:line="180" w:lineRule="atLeast"/>
              <w:jc w:val="center"/>
              <w:rPr>
                <w:rFonts w:cs="TimesLTStd-Roman"/>
                <w:color w:val="000000"/>
                <w:sz w:val="20"/>
                <w:szCs w:val="20"/>
              </w:rPr>
            </w:pPr>
            <w:r>
              <w:rPr>
                <w:rFonts w:cs="TimesLTStd-Roman"/>
                <w:color w:val="000000"/>
                <w:sz w:val="20"/>
                <w:szCs w:val="20"/>
              </w:rPr>
              <w:t>Numeracy</w:t>
            </w:r>
          </w:p>
        </w:tc>
      </w:tr>
      <w:tr w:rsidR="007A6EBC" w:rsidRPr="006C109A" w14:paraId="7F34CABE" w14:textId="77777777" w:rsidTr="007A6EBC">
        <w:trPr>
          <w:trHeight w:hRule="exact" w:val="733"/>
          <w:jc w:val="center"/>
        </w:trPr>
        <w:tc>
          <w:tcPr>
            <w:tcW w:w="646" w:type="dxa"/>
            <w:tcBorders>
              <w:bottom w:val="single" w:sz="4" w:space="0" w:color="auto"/>
              <w:right w:val="single" w:sz="4" w:space="0" w:color="auto"/>
            </w:tcBorders>
          </w:tcPr>
          <w:p w14:paraId="43A714CE" w14:textId="77777777" w:rsidR="007A6EBC" w:rsidRPr="006C109A" w:rsidRDefault="007A6EBC" w:rsidP="007A6EBC">
            <w:pPr>
              <w:keepLines/>
              <w:widowControl w:val="0"/>
              <w:spacing w:line="180" w:lineRule="atLeast"/>
              <w:rPr>
                <w:rFonts w:cs="TimesLTStd-Roman"/>
                <w:iCs/>
                <w:color w:val="000000"/>
                <w:szCs w:val="16"/>
              </w:rPr>
            </w:pPr>
          </w:p>
        </w:tc>
        <w:tc>
          <w:tcPr>
            <w:tcW w:w="1122" w:type="dxa"/>
            <w:tcBorders>
              <w:left w:val="single" w:sz="4" w:space="0" w:color="auto"/>
              <w:bottom w:val="single" w:sz="4" w:space="0" w:color="auto"/>
            </w:tcBorders>
            <w:vAlign w:val="center"/>
          </w:tcPr>
          <w:p w14:paraId="7BD5F40E" w14:textId="77777777" w:rsidR="007A6EBC" w:rsidRPr="006C109A" w:rsidRDefault="007A6EBC" w:rsidP="007A6EBC">
            <w:pPr>
              <w:spacing w:line="180" w:lineRule="atLeast"/>
              <w:jc w:val="center"/>
              <w:rPr>
                <w:rFonts w:cs="TimesLTStd-Roman"/>
                <w:color w:val="000000"/>
                <w:sz w:val="20"/>
                <w:szCs w:val="20"/>
              </w:rPr>
            </w:pPr>
            <w:r w:rsidRPr="006C109A">
              <w:rPr>
                <w:rFonts w:cs="TimesLTStd-Roman"/>
                <w:color w:val="000000"/>
                <w:sz w:val="20"/>
                <w:szCs w:val="20"/>
              </w:rPr>
              <w:t>All non-Indig</w:t>
            </w:r>
            <w:r>
              <w:rPr>
                <w:rFonts w:cs="TimesLTStd-Roman"/>
                <w:color w:val="000000"/>
                <w:sz w:val="20"/>
                <w:szCs w:val="20"/>
              </w:rPr>
              <w:t>enous</w:t>
            </w:r>
          </w:p>
        </w:tc>
        <w:tc>
          <w:tcPr>
            <w:tcW w:w="1122" w:type="dxa"/>
            <w:tcBorders>
              <w:bottom w:val="single" w:sz="4" w:space="0" w:color="auto"/>
            </w:tcBorders>
            <w:vAlign w:val="center"/>
          </w:tcPr>
          <w:p w14:paraId="5A00B964" w14:textId="77777777" w:rsidR="007A6EBC" w:rsidRPr="006C109A" w:rsidRDefault="007A6EBC" w:rsidP="007A6EBC">
            <w:pPr>
              <w:spacing w:line="180" w:lineRule="atLeast"/>
              <w:jc w:val="center"/>
              <w:rPr>
                <w:rFonts w:cs="TimesLTStd-Roman"/>
                <w:color w:val="000000"/>
                <w:sz w:val="20"/>
                <w:szCs w:val="20"/>
              </w:rPr>
            </w:pPr>
            <w:r w:rsidRPr="006C109A">
              <w:rPr>
                <w:rFonts w:cs="TimesLTStd-Roman"/>
                <w:color w:val="000000"/>
                <w:sz w:val="20"/>
                <w:szCs w:val="20"/>
              </w:rPr>
              <w:t>All Indig</w:t>
            </w:r>
            <w:r>
              <w:rPr>
                <w:rFonts w:cs="TimesLTStd-Roman"/>
                <w:color w:val="000000"/>
                <w:sz w:val="20"/>
                <w:szCs w:val="20"/>
              </w:rPr>
              <w:t>enous</w:t>
            </w:r>
          </w:p>
        </w:tc>
        <w:tc>
          <w:tcPr>
            <w:tcW w:w="1123" w:type="dxa"/>
            <w:gridSpan w:val="2"/>
            <w:tcBorders>
              <w:bottom w:val="single" w:sz="4" w:space="0" w:color="auto"/>
              <w:right w:val="single" w:sz="4" w:space="0" w:color="auto"/>
            </w:tcBorders>
            <w:vAlign w:val="center"/>
          </w:tcPr>
          <w:p w14:paraId="68D5185A" w14:textId="77777777" w:rsidR="007A6EBC" w:rsidRPr="006C109A" w:rsidRDefault="007A6EBC" w:rsidP="007A6EBC">
            <w:pPr>
              <w:spacing w:line="180" w:lineRule="atLeast"/>
              <w:jc w:val="center"/>
              <w:rPr>
                <w:rFonts w:cs="TimesLTStd-Roman"/>
                <w:color w:val="000000"/>
                <w:sz w:val="20"/>
                <w:szCs w:val="20"/>
              </w:rPr>
            </w:pPr>
            <w:proofErr w:type="spellStart"/>
            <w:r w:rsidRPr="006C109A">
              <w:rPr>
                <w:rFonts w:cs="TimesLTStd-Roman"/>
                <w:color w:val="000000"/>
                <w:sz w:val="20"/>
                <w:szCs w:val="20"/>
              </w:rPr>
              <w:t>Indig</w:t>
            </w:r>
            <w:r>
              <w:rPr>
                <w:rFonts w:cs="TimesLTStd-Roman"/>
                <w:color w:val="000000"/>
                <w:sz w:val="20"/>
                <w:szCs w:val="20"/>
              </w:rPr>
              <w:t>enousi</w:t>
            </w:r>
            <w:r w:rsidRPr="006C109A">
              <w:rPr>
                <w:rFonts w:cs="TimesLTStd-Roman"/>
                <w:color w:val="000000"/>
                <w:sz w:val="20"/>
                <w:szCs w:val="20"/>
              </w:rPr>
              <w:t>n</w:t>
            </w:r>
            <w:proofErr w:type="spellEnd"/>
            <w:r w:rsidRPr="006C109A">
              <w:rPr>
                <w:rFonts w:cs="TimesLTStd-Roman"/>
                <w:color w:val="000000"/>
                <w:sz w:val="20"/>
                <w:szCs w:val="20"/>
              </w:rPr>
              <w:t xml:space="preserve"> NT</w:t>
            </w:r>
          </w:p>
        </w:tc>
        <w:tc>
          <w:tcPr>
            <w:tcW w:w="1122" w:type="dxa"/>
            <w:tcBorders>
              <w:left w:val="single" w:sz="4" w:space="0" w:color="auto"/>
              <w:bottom w:val="single" w:sz="4" w:space="0" w:color="auto"/>
            </w:tcBorders>
            <w:vAlign w:val="center"/>
          </w:tcPr>
          <w:p w14:paraId="52142B88" w14:textId="77777777" w:rsidR="007A6EBC" w:rsidRPr="006C109A" w:rsidRDefault="007A6EBC" w:rsidP="007A6EBC">
            <w:pPr>
              <w:spacing w:line="180" w:lineRule="atLeast"/>
              <w:jc w:val="center"/>
              <w:rPr>
                <w:rFonts w:cs="TimesLTStd-Roman"/>
                <w:color w:val="000000"/>
                <w:sz w:val="20"/>
                <w:szCs w:val="20"/>
              </w:rPr>
            </w:pPr>
            <w:r w:rsidRPr="006C109A">
              <w:rPr>
                <w:rFonts w:cs="TimesLTStd-Roman"/>
                <w:color w:val="000000"/>
                <w:sz w:val="20"/>
                <w:szCs w:val="20"/>
              </w:rPr>
              <w:t>All non-Indig</w:t>
            </w:r>
            <w:r>
              <w:rPr>
                <w:rFonts w:cs="TimesLTStd-Roman"/>
                <w:color w:val="000000"/>
                <w:sz w:val="20"/>
                <w:szCs w:val="20"/>
              </w:rPr>
              <w:t>enous</w:t>
            </w:r>
          </w:p>
        </w:tc>
        <w:tc>
          <w:tcPr>
            <w:tcW w:w="1122" w:type="dxa"/>
            <w:tcBorders>
              <w:bottom w:val="single" w:sz="4" w:space="0" w:color="auto"/>
            </w:tcBorders>
            <w:vAlign w:val="center"/>
          </w:tcPr>
          <w:p w14:paraId="6AD6DD64" w14:textId="77777777" w:rsidR="007A6EBC" w:rsidRPr="006C109A" w:rsidRDefault="007A6EBC" w:rsidP="007A6EBC">
            <w:pPr>
              <w:spacing w:line="180" w:lineRule="atLeast"/>
              <w:jc w:val="center"/>
              <w:rPr>
                <w:rFonts w:cs="TimesLTStd-Roman"/>
                <w:color w:val="000000"/>
                <w:sz w:val="20"/>
                <w:szCs w:val="20"/>
              </w:rPr>
            </w:pPr>
            <w:r w:rsidRPr="006C109A">
              <w:rPr>
                <w:rFonts w:cs="TimesLTStd-Roman"/>
                <w:color w:val="000000"/>
                <w:sz w:val="20"/>
                <w:szCs w:val="20"/>
              </w:rPr>
              <w:t>All Indig</w:t>
            </w:r>
            <w:r>
              <w:rPr>
                <w:rFonts w:cs="TimesLTStd-Roman"/>
                <w:color w:val="000000"/>
                <w:sz w:val="20"/>
                <w:szCs w:val="20"/>
              </w:rPr>
              <w:t>enous</w:t>
            </w:r>
          </w:p>
        </w:tc>
        <w:tc>
          <w:tcPr>
            <w:tcW w:w="1123" w:type="dxa"/>
            <w:tcBorders>
              <w:bottom w:val="single" w:sz="4" w:space="0" w:color="auto"/>
              <w:right w:val="single" w:sz="4" w:space="0" w:color="auto"/>
            </w:tcBorders>
            <w:vAlign w:val="center"/>
          </w:tcPr>
          <w:p w14:paraId="4FF82F20" w14:textId="77777777" w:rsidR="007A6EBC" w:rsidRPr="006C109A" w:rsidRDefault="007A6EBC" w:rsidP="007A6EBC">
            <w:pPr>
              <w:spacing w:line="180" w:lineRule="atLeast"/>
              <w:jc w:val="center"/>
              <w:rPr>
                <w:rFonts w:cs="TimesLTStd-Roman"/>
                <w:color w:val="000000"/>
                <w:sz w:val="20"/>
                <w:szCs w:val="20"/>
              </w:rPr>
            </w:pPr>
            <w:proofErr w:type="spellStart"/>
            <w:r w:rsidRPr="006C109A">
              <w:rPr>
                <w:rFonts w:cs="TimesLTStd-Roman"/>
                <w:color w:val="000000"/>
                <w:sz w:val="20"/>
                <w:szCs w:val="20"/>
              </w:rPr>
              <w:t>Indig</w:t>
            </w:r>
            <w:r>
              <w:rPr>
                <w:rFonts w:cs="TimesLTStd-Roman"/>
                <w:color w:val="000000"/>
                <w:sz w:val="20"/>
                <w:szCs w:val="20"/>
              </w:rPr>
              <w:t>enousi</w:t>
            </w:r>
            <w:r w:rsidRPr="006C109A">
              <w:rPr>
                <w:rFonts w:cs="TimesLTStd-Roman"/>
                <w:color w:val="000000"/>
                <w:sz w:val="20"/>
                <w:szCs w:val="20"/>
              </w:rPr>
              <w:t>n</w:t>
            </w:r>
            <w:proofErr w:type="spellEnd"/>
            <w:r w:rsidRPr="006C109A">
              <w:rPr>
                <w:rFonts w:cs="TimesLTStd-Roman"/>
                <w:color w:val="000000"/>
                <w:sz w:val="20"/>
                <w:szCs w:val="20"/>
              </w:rPr>
              <w:t xml:space="preserve"> NT</w:t>
            </w:r>
          </w:p>
        </w:tc>
      </w:tr>
      <w:tr w:rsidR="007A6EBC" w:rsidRPr="006C109A" w14:paraId="22ED9631" w14:textId="77777777" w:rsidTr="007A6EBC">
        <w:trPr>
          <w:trHeight w:val="280"/>
          <w:jc w:val="center"/>
        </w:trPr>
        <w:tc>
          <w:tcPr>
            <w:tcW w:w="646" w:type="dxa"/>
            <w:tcBorders>
              <w:top w:val="single" w:sz="4" w:space="0" w:color="auto"/>
              <w:right w:val="single" w:sz="4" w:space="0" w:color="auto"/>
            </w:tcBorders>
            <w:vAlign w:val="center"/>
          </w:tcPr>
          <w:p w14:paraId="2752DF59" w14:textId="77777777" w:rsidR="007A6EBC" w:rsidRPr="006C109A" w:rsidRDefault="007A6EBC" w:rsidP="007A6EBC">
            <w:pPr>
              <w:keepLines/>
              <w:widowControl w:val="0"/>
              <w:rPr>
                <w:rFonts w:cs="TimesLTStd-Roman"/>
                <w:color w:val="000000"/>
                <w:sz w:val="20"/>
                <w:szCs w:val="20"/>
              </w:rPr>
            </w:pPr>
            <w:r w:rsidRPr="006C109A">
              <w:rPr>
                <w:rFonts w:cs="TimesLTStd-Roman"/>
                <w:iCs/>
                <w:color w:val="000000"/>
                <w:sz w:val="20"/>
                <w:szCs w:val="20"/>
              </w:rPr>
              <w:t>2008</w:t>
            </w:r>
          </w:p>
        </w:tc>
        <w:tc>
          <w:tcPr>
            <w:tcW w:w="1122" w:type="dxa"/>
            <w:tcBorders>
              <w:top w:val="single" w:sz="4" w:space="0" w:color="auto"/>
              <w:left w:val="single" w:sz="4" w:space="0" w:color="auto"/>
            </w:tcBorders>
            <w:vAlign w:val="center"/>
          </w:tcPr>
          <w:p w14:paraId="314F2AC8" w14:textId="77777777" w:rsidR="007A6EBC" w:rsidRPr="006C109A" w:rsidRDefault="007A6EBC" w:rsidP="007A6EBC">
            <w:pPr>
              <w:keepLines/>
              <w:widowControl w:val="0"/>
              <w:jc w:val="center"/>
              <w:rPr>
                <w:sz w:val="20"/>
                <w:szCs w:val="20"/>
              </w:rPr>
            </w:pPr>
            <w:r w:rsidRPr="006C109A">
              <w:rPr>
                <w:sz w:val="20"/>
                <w:szCs w:val="20"/>
              </w:rPr>
              <w:t>96</w:t>
            </w:r>
          </w:p>
        </w:tc>
        <w:tc>
          <w:tcPr>
            <w:tcW w:w="1122" w:type="dxa"/>
            <w:tcBorders>
              <w:top w:val="single" w:sz="4" w:space="0" w:color="auto"/>
            </w:tcBorders>
            <w:vAlign w:val="center"/>
          </w:tcPr>
          <w:p w14:paraId="4528FF24" w14:textId="77777777" w:rsidR="007A6EBC" w:rsidRPr="006C109A" w:rsidRDefault="007A6EBC" w:rsidP="007A6EBC">
            <w:pPr>
              <w:keepLines/>
              <w:widowControl w:val="0"/>
              <w:jc w:val="center"/>
              <w:rPr>
                <w:sz w:val="20"/>
                <w:szCs w:val="20"/>
              </w:rPr>
            </w:pPr>
            <w:r w:rsidRPr="006C109A">
              <w:rPr>
                <w:sz w:val="20"/>
                <w:szCs w:val="20"/>
              </w:rPr>
              <w:t>87</w:t>
            </w:r>
          </w:p>
        </w:tc>
        <w:tc>
          <w:tcPr>
            <w:tcW w:w="1123" w:type="dxa"/>
            <w:gridSpan w:val="2"/>
            <w:tcBorders>
              <w:top w:val="single" w:sz="4" w:space="0" w:color="auto"/>
              <w:right w:val="single" w:sz="4" w:space="0" w:color="auto"/>
            </w:tcBorders>
            <w:vAlign w:val="center"/>
          </w:tcPr>
          <w:p w14:paraId="50D0E2AA" w14:textId="77777777" w:rsidR="007A6EBC" w:rsidRPr="006C109A" w:rsidRDefault="007A6EBC" w:rsidP="007A6EBC">
            <w:pPr>
              <w:keepLines/>
              <w:widowControl w:val="0"/>
              <w:jc w:val="center"/>
              <w:rPr>
                <w:sz w:val="20"/>
                <w:szCs w:val="20"/>
              </w:rPr>
            </w:pPr>
            <w:r w:rsidRPr="006C109A">
              <w:rPr>
                <w:sz w:val="20"/>
                <w:szCs w:val="20"/>
              </w:rPr>
              <w:t>67</w:t>
            </w:r>
          </w:p>
        </w:tc>
        <w:tc>
          <w:tcPr>
            <w:tcW w:w="1122" w:type="dxa"/>
            <w:tcBorders>
              <w:top w:val="single" w:sz="4" w:space="0" w:color="auto"/>
              <w:left w:val="single" w:sz="4" w:space="0" w:color="auto"/>
            </w:tcBorders>
            <w:vAlign w:val="center"/>
          </w:tcPr>
          <w:p w14:paraId="789484BF" w14:textId="77777777" w:rsidR="007A6EBC" w:rsidRPr="006C109A" w:rsidRDefault="007A6EBC" w:rsidP="007A6EBC">
            <w:pPr>
              <w:jc w:val="center"/>
              <w:rPr>
                <w:sz w:val="20"/>
                <w:szCs w:val="32"/>
              </w:rPr>
            </w:pPr>
            <w:r w:rsidRPr="006C109A">
              <w:rPr>
                <w:sz w:val="20"/>
                <w:szCs w:val="32"/>
              </w:rPr>
              <w:t>96</w:t>
            </w:r>
          </w:p>
        </w:tc>
        <w:tc>
          <w:tcPr>
            <w:tcW w:w="1122" w:type="dxa"/>
            <w:tcBorders>
              <w:top w:val="single" w:sz="4" w:space="0" w:color="auto"/>
            </w:tcBorders>
            <w:vAlign w:val="center"/>
          </w:tcPr>
          <w:p w14:paraId="74B5904A" w14:textId="77777777" w:rsidR="007A6EBC" w:rsidRPr="006C109A" w:rsidRDefault="007A6EBC" w:rsidP="007A6EBC">
            <w:pPr>
              <w:jc w:val="center"/>
              <w:rPr>
                <w:sz w:val="20"/>
                <w:szCs w:val="32"/>
              </w:rPr>
            </w:pPr>
            <w:r w:rsidRPr="006C109A">
              <w:rPr>
                <w:sz w:val="20"/>
                <w:szCs w:val="32"/>
              </w:rPr>
              <w:t>86</w:t>
            </w:r>
          </w:p>
        </w:tc>
        <w:tc>
          <w:tcPr>
            <w:tcW w:w="1123" w:type="dxa"/>
            <w:tcBorders>
              <w:top w:val="single" w:sz="4" w:space="0" w:color="auto"/>
              <w:right w:val="single" w:sz="4" w:space="0" w:color="auto"/>
            </w:tcBorders>
            <w:vAlign w:val="center"/>
          </w:tcPr>
          <w:p w14:paraId="746D5F4A" w14:textId="77777777" w:rsidR="007A6EBC" w:rsidRPr="006C109A" w:rsidRDefault="007A6EBC" w:rsidP="007A6EBC">
            <w:pPr>
              <w:jc w:val="center"/>
              <w:rPr>
                <w:sz w:val="20"/>
                <w:szCs w:val="32"/>
              </w:rPr>
            </w:pPr>
            <w:r w:rsidRPr="006C109A">
              <w:rPr>
                <w:sz w:val="20"/>
                <w:szCs w:val="32"/>
              </w:rPr>
              <w:t>68</w:t>
            </w:r>
          </w:p>
        </w:tc>
      </w:tr>
      <w:tr w:rsidR="007A6EBC" w:rsidRPr="006C109A" w14:paraId="73523BC5" w14:textId="77777777" w:rsidTr="007A6EBC">
        <w:trPr>
          <w:trHeight w:val="280"/>
          <w:jc w:val="center"/>
        </w:trPr>
        <w:tc>
          <w:tcPr>
            <w:tcW w:w="646" w:type="dxa"/>
            <w:tcBorders>
              <w:right w:val="single" w:sz="4" w:space="0" w:color="auto"/>
            </w:tcBorders>
            <w:vAlign w:val="center"/>
          </w:tcPr>
          <w:p w14:paraId="0FA79678" w14:textId="77777777" w:rsidR="007A6EBC" w:rsidRPr="006C109A" w:rsidRDefault="007A6EBC" w:rsidP="007A6EBC">
            <w:pPr>
              <w:keepLines/>
              <w:widowControl w:val="0"/>
              <w:rPr>
                <w:rFonts w:cs="TimesLTStd-Roman"/>
                <w:color w:val="000000"/>
                <w:sz w:val="20"/>
                <w:szCs w:val="20"/>
              </w:rPr>
            </w:pPr>
            <w:r w:rsidRPr="006C109A">
              <w:rPr>
                <w:rFonts w:cs="TimesLTStd-Roman"/>
                <w:color w:val="000000"/>
                <w:sz w:val="20"/>
                <w:szCs w:val="20"/>
              </w:rPr>
              <w:t>2009</w:t>
            </w:r>
          </w:p>
        </w:tc>
        <w:tc>
          <w:tcPr>
            <w:tcW w:w="1122" w:type="dxa"/>
            <w:tcBorders>
              <w:left w:val="single" w:sz="4" w:space="0" w:color="auto"/>
            </w:tcBorders>
            <w:vAlign w:val="center"/>
          </w:tcPr>
          <w:p w14:paraId="2B4423B4" w14:textId="77777777" w:rsidR="007A6EBC" w:rsidRPr="006C109A" w:rsidRDefault="007A6EBC" w:rsidP="007A6EBC">
            <w:pPr>
              <w:keepLines/>
              <w:widowControl w:val="0"/>
              <w:jc w:val="center"/>
              <w:rPr>
                <w:sz w:val="20"/>
                <w:szCs w:val="20"/>
              </w:rPr>
            </w:pPr>
            <w:r w:rsidRPr="006C109A">
              <w:rPr>
                <w:sz w:val="20"/>
                <w:szCs w:val="20"/>
              </w:rPr>
              <w:t>96</w:t>
            </w:r>
          </w:p>
        </w:tc>
        <w:tc>
          <w:tcPr>
            <w:tcW w:w="1122" w:type="dxa"/>
            <w:vAlign w:val="center"/>
          </w:tcPr>
          <w:p w14:paraId="701A8D60" w14:textId="77777777" w:rsidR="007A6EBC" w:rsidRPr="006C109A" w:rsidRDefault="007A6EBC" w:rsidP="007A6EBC">
            <w:pPr>
              <w:keepLines/>
              <w:widowControl w:val="0"/>
              <w:jc w:val="center"/>
              <w:rPr>
                <w:sz w:val="20"/>
                <w:szCs w:val="20"/>
              </w:rPr>
            </w:pPr>
            <w:r w:rsidRPr="006C109A">
              <w:rPr>
                <w:sz w:val="20"/>
                <w:szCs w:val="20"/>
              </w:rPr>
              <w:t>89</w:t>
            </w:r>
          </w:p>
        </w:tc>
        <w:tc>
          <w:tcPr>
            <w:tcW w:w="1123" w:type="dxa"/>
            <w:gridSpan w:val="2"/>
            <w:tcBorders>
              <w:right w:val="single" w:sz="4" w:space="0" w:color="auto"/>
            </w:tcBorders>
            <w:vAlign w:val="center"/>
          </w:tcPr>
          <w:p w14:paraId="45AE85AC" w14:textId="77777777" w:rsidR="007A6EBC" w:rsidRPr="006C109A" w:rsidRDefault="007A6EBC" w:rsidP="007A6EBC">
            <w:pPr>
              <w:keepLines/>
              <w:widowControl w:val="0"/>
              <w:jc w:val="center"/>
              <w:rPr>
                <w:sz w:val="20"/>
                <w:szCs w:val="20"/>
              </w:rPr>
            </w:pPr>
            <w:r w:rsidRPr="006C109A">
              <w:rPr>
                <w:sz w:val="20"/>
                <w:szCs w:val="20"/>
              </w:rPr>
              <w:t>86</w:t>
            </w:r>
          </w:p>
        </w:tc>
        <w:tc>
          <w:tcPr>
            <w:tcW w:w="1122" w:type="dxa"/>
            <w:tcBorders>
              <w:left w:val="single" w:sz="4" w:space="0" w:color="auto"/>
            </w:tcBorders>
            <w:vAlign w:val="center"/>
          </w:tcPr>
          <w:p w14:paraId="534B039B" w14:textId="77777777" w:rsidR="007A6EBC" w:rsidRPr="006C109A" w:rsidRDefault="007A6EBC" w:rsidP="007A6EBC">
            <w:pPr>
              <w:jc w:val="center"/>
              <w:rPr>
                <w:sz w:val="20"/>
                <w:szCs w:val="32"/>
              </w:rPr>
            </w:pPr>
            <w:r w:rsidRPr="006C109A">
              <w:rPr>
                <w:sz w:val="20"/>
                <w:szCs w:val="32"/>
              </w:rPr>
              <w:t>96</w:t>
            </w:r>
          </w:p>
        </w:tc>
        <w:tc>
          <w:tcPr>
            <w:tcW w:w="1122" w:type="dxa"/>
            <w:vAlign w:val="center"/>
          </w:tcPr>
          <w:p w14:paraId="7FD62F44" w14:textId="77777777" w:rsidR="007A6EBC" w:rsidRPr="006C109A" w:rsidRDefault="007A6EBC" w:rsidP="007A6EBC">
            <w:pPr>
              <w:jc w:val="center"/>
              <w:rPr>
                <w:sz w:val="20"/>
                <w:szCs w:val="32"/>
              </w:rPr>
            </w:pPr>
            <w:r w:rsidRPr="006C109A">
              <w:rPr>
                <w:sz w:val="20"/>
                <w:szCs w:val="32"/>
              </w:rPr>
              <w:t>88</w:t>
            </w:r>
          </w:p>
        </w:tc>
        <w:tc>
          <w:tcPr>
            <w:tcW w:w="1123" w:type="dxa"/>
            <w:tcBorders>
              <w:right w:val="single" w:sz="4" w:space="0" w:color="auto"/>
            </w:tcBorders>
            <w:vAlign w:val="center"/>
          </w:tcPr>
          <w:p w14:paraId="56E03B5D" w14:textId="77777777" w:rsidR="007A6EBC" w:rsidRPr="006C109A" w:rsidRDefault="007A6EBC" w:rsidP="007A6EBC">
            <w:pPr>
              <w:jc w:val="center"/>
              <w:rPr>
                <w:sz w:val="20"/>
                <w:szCs w:val="32"/>
              </w:rPr>
            </w:pPr>
            <w:r w:rsidRPr="006C109A">
              <w:rPr>
                <w:sz w:val="20"/>
                <w:szCs w:val="32"/>
              </w:rPr>
              <w:t>85</w:t>
            </w:r>
          </w:p>
        </w:tc>
      </w:tr>
      <w:tr w:rsidR="007A6EBC" w:rsidRPr="006C109A" w14:paraId="6367F46D" w14:textId="77777777" w:rsidTr="007A6EBC">
        <w:trPr>
          <w:trHeight w:val="280"/>
          <w:jc w:val="center"/>
        </w:trPr>
        <w:tc>
          <w:tcPr>
            <w:tcW w:w="646" w:type="dxa"/>
            <w:tcBorders>
              <w:right w:val="single" w:sz="4" w:space="0" w:color="auto"/>
            </w:tcBorders>
            <w:vAlign w:val="center"/>
          </w:tcPr>
          <w:p w14:paraId="34CBDE5E" w14:textId="77777777" w:rsidR="007A6EBC" w:rsidRPr="006C109A" w:rsidRDefault="007A6EBC" w:rsidP="007A6EBC">
            <w:pPr>
              <w:keepLines/>
              <w:widowControl w:val="0"/>
              <w:rPr>
                <w:rFonts w:cs="TimesLTStd-Roman"/>
                <w:color w:val="000000"/>
                <w:sz w:val="20"/>
                <w:szCs w:val="20"/>
              </w:rPr>
            </w:pPr>
            <w:r w:rsidRPr="006C109A">
              <w:rPr>
                <w:rFonts w:cs="TimesLTStd-Roman"/>
                <w:color w:val="000000"/>
                <w:sz w:val="20"/>
                <w:szCs w:val="20"/>
              </w:rPr>
              <w:t>2010</w:t>
            </w:r>
          </w:p>
        </w:tc>
        <w:tc>
          <w:tcPr>
            <w:tcW w:w="1122" w:type="dxa"/>
            <w:tcBorders>
              <w:left w:val="single" w:sz="4" w:space="0" w:color="auto"/>
            </w:tcBorders>
            <w:vAlign w:val="center"/>
          </w:tcPr>
          <w:p w14:paraId="0C1E81E9" w14:textId="77777777" w:rsidR="007A6EBC" w:rsidRPr="006C109A" w:rsidRDefault="007A6EBC" w:rsidP="007A6EBC">
            <w:pPr>
              <w:keepLines/>
              <w:widowControl w:val="0"/>
              <w:jc w:val="center"/>
              <w:rPr>
                <w:sz w:val="20"/>
                <w:szCs w:val="20"/>
              </w:rPr>
            </w:pPr>
            <w:r w:rsidRPr="006C109A">
              <w:rPr>
                <w:sz w:val="20"/>
                <w:szCs w:val="20"/>
              </w:rPr>
              <w:t>96</w:t>
            </w:r>
          </w:p>
        </w:tc>
        <w:tc>
          <w:tcPr>
            <w:tcW w:w="1122" w:type="dxa"/>
            <w:vAlign w:val="center"/>
          </w:tcPr>
          <w:p w14:paraId="096A7F3F" w14:textId="77777777" w:rsidR="007A6EBC" w:rsidRPr="006C109A" w:rsidRDefault="007A6EBC" w:rsidP="007A6EBC">
            <w:pPr>
              <w:keepLines/>
              <w:widowControl w:val="0"/>
              <w:jc w:val="center"/>
              <w:rPr>
                <w:sz w:val="20"/>
                <w:szCs w:val="20"/>
              </w:rPr>
            </w:pPr>
            <w:r w:rsidRPr="006C109A">
              <w:rPr>
                <w:sz w:val="20"/>
                <w:szCs w:val="20"/>
              </w:rPr>
              <w:t>87</w:t>
            </w:r>
          </w:p>
        </w:tc>
        <w:tc>
          <w:tcPr>
            <w:tcW w:w="1123" w:type="dxa"/>
            <w:gridSpan w:val="2"/>
            <w:tcBorders>
              <w:right w:val="single" w:sz="4" w:space="0" w:color="auto"/>
            </w:tcBorders>
            <w:vAlign w:val="center"/>
          </w:tcPr>
          <w:p w14:paraId="55A03ED2" w14:textId="77777777" w:rsidR="007A6EBC" w:rsidRPr="006C109A" w:rsidRDefault="007A6EBC" w:rsidP="007A6EBC">
            <w:pPr>
              <w:keepLines/>
              <w:widowControl w:val="0"/>
              <w:jc w:val="center"/>
              <w:rPr>
                <w:sz w:val="20"/>
                <w:szCs w:val="20"/>
              </w:rPr>
            </w:pPr>
            <w:r w:rsidRPr="006C109A">
              <w:rPr>
                <w:sz w:val="20"/>
                <w:szCs w:val="20"/>
              </w:rPr>
              <w:t>76</w:t>
            </w:r>
          </w:p>
        </w:tc>
        <w:tc>
          <w:tcPr>
            <w:tcW w:w="1122" w:type="dxa"/>
            <w:tcBorders>
              <w:left w:val="single" w:sz="4" w:space="0" w:color="auto"/>
            </w:tcBorders>
            <w:vAlign w:val="center"/>
          </w:tcPr>
          <w:p w14:paraId="7F96DB32" w14:textId="77777777" w:rsidR="007A6EBC" w:rsidRPr="006C109A" w:rsidRDefault="007A6EBC" w:rsidP="007A6EBC">
            <w:pPr>
              <w:jc w:val="center"/>
              <w:rPr>
                <w:sz w:val="20"/>
                <w:szCs w:val="32"/>
              </w:rPr>
            </w:pPr>
            <w:r w:rsidRPr="006C109A">
              <w:rPr>
                <w:sz w:val="20"/>
                <w:szCs w:val="32"/>
              </w:rPr>
              <w:t>95</w:t>
            </w:r>
          </w:p>
        </w:tc>
        <w:tc>
          <w:tcPr>
            <w:tcW w:w="1122" w:type="dxa"/>
            <w:vAlign w:val="center"/>
          </w:tcPr>
          <w:p w14:paraId="5964165B" w14:textId="77777777" w:rsidR="007A6EBC" w:rsidRPr="006C109A" w:rsidRDefault="007A6EBC" w:rsidP="007A6EBC">
            <w:pPr>
              <w:jc w:val="center"/>
              <w:rPr>
                <w:sz w:val="20"/>
                <w:szCs w:val="32"/>
              </w:rPr>
            </w:pPr>
            <w:r w:rsidRPr="006C109A">
              <w:rPr>
                <w:sz w:val="20"/>
                <w:szCs w:val="32"/>
              </w:rPr>
              <w:t>87</w:t>
            </w:r>
          </w:p>
        </w:tc>
        <w:tc>
          <w:tcPr>
            <w:tcW w:w="1123" w:type="dxa"/>
            <w:tcBorders>
              <w:right w:val="single" w:sz="4" w:space="0" w:color="auto"/>
            </w:tcBorders>
            <w:vAlign w:val="center"/>
          </w:tcPr>
          <w:p w14:paraId="6FBA9160" w14:textId="77777777" w:rsidR="007A6EBC" w:rsidRPr="006C109A" w:rsidRDefault="007A6EBC" w:rsidP="007A6EBC">
            <w:pPr>
              <w:jc w:val="center"/>
              <w:rPr>
                <w:sz w:val="20"/>
                <w:szCs w:val="32"/>
              </w:rPr>
            </w:pPr>
            <w:r w:rsidRPr="006C109A">
              <w:rPr>
                <w:sz w:val="20"/>
                <w:szCs w:val="32"/>
              </w:rPr>
              <w:t>75</w:t>
            </w:r>
          </w:p>
        </w:tc>
      </w:tr>
      <w:tr w:rsidR="007A6EBC" w:rsidRPr="006C109A" w14:paraId="3B39DF73" w14:textId="77777777" w:rsidTr="007A6EBC">
        <w:trPr>
          <w:trHeight w:val="280"/>
          <w:jc w:val="center"/>
        </w:trPr>
        <w:tc>
          <w:tcPr>
            <w:tcW w:w="646" w:type="dxa"/>
            <w:tcBorders>
              <w:right w:val="single" w:sz="4" w:space="0" w:color="auto"/>
            </w:tcBorders>
            <w:vAlign w:val="center"/>
          </w:tcPr>
          <w:p w14:paraId="2618F0CF" w14:textId="77777777" w:rsidR="007A6EBC" w:rsidRPr="006C109A" w:rsidRDefault="007A6EBC" w:rsidP="007A6EBC">
            <w:pPr>
              <w:keepLines/>
              <w:widowControl w:val="0"/>
              <w:rPr>
                <w:rFonts w:cs="TimesLTStd-Roman"/>
                <w:color w:val="000000"/>
                <w:sz w:val="20"/>
                <w:szCs w:val="20"/>
              </w:rPr>
            </w:pPr>
            <w:r w:rsidRPr="006C109A">
              <w:rPr>
                <w:rFonts w:cs="TimesLTStd-Roman"/>
                <w:iCs/>
                <w:color w:val="000000"/>
                <w:sz w:val="20"/>
                <w:szCs w:val="20"/>
              </w:rPr>
              <w:t>2011</w:t>
            </w:r>
          </w:p>
        </w:tc>
        <w:tc>
          <w:tcPr>
            <w:tcW w:w="1122" w:type="dxa"/>
            <w:tcBorders>
              <w:left w:val="single" w:sz="4" w:space="0" w:color="auto"/>
            </w:tcBorders>
            <w:vAlign w:val="center"/>
          </w:tcPr>
          <w:p w14:paraId="25DB0EAA" w14:textId="77777777" w:rsidR="007A6EBC" w:rsidRPr="006C109A" w:rsidRDefault="007A6EBC" w:rsidP="007A6EBC">
            <w:pPr>
              <w:keepLines/>
              <w:widowControl w:val="0"/>
              <w:jc w:val="center"/>
              <w:rPr>
                <w:sz w:val="20"/>
                <w:szCs w:val="20"/>
              </w:rPr>
            </w:pPr>
            <w:r w:rsidRPr="006C109A">
              <w:rPr>
                <w:sz w:val="20"/>
                <w:szCs w:val="20"/>
              </w:rPr>
              <w:t>96</w:t>
            </w:r>
          </w:p>
        </w:tc>
        <w:tc>
          <w:tcPr>
            <w:tcW w:w="1122" w:type="dxa"/>
            <w:vAlign w:val="center"/>
          </w:tcPr>
          <w:p w14:paraId="5FCE64F3" w14:textId="77777777" w:rsidR="007A6EBC" w:rsidRPr="006C109A" w:rsidRDefault="007A6EBC" w:rsidP="007A6EBC">
            <w:pPr>
              <w:keepLines/>
              <w:widowControl w:val="0"/>
              <w:jc w:val="center"/>
              <w:rPr>
                <w:sz w:val="20"/>
                <w:szCs w:val="20"/>
              </w:rPr>
            </w:pPr>
            <w:r w:rsidRPr="006C109A">
              <w:rPr>
                <w:sz w:val="20"/>
                <w:szCs w:val="20"/>
              </w:rPr>
              <w:t>87</w:t>
            </w:r>
          </w:p>
        </w:tc>
        <w:tc>
          <w:tcPr>
            <w:tcW w:w="1123" w:type="dxa"/>
            <w:gridSpan w:val="2"/>
            <w:tcBorders>
              <w:right w:val="single" w:sz="4" w:space="0" w:color="auto"/>
            </w:tcBorders>
            <w:vAlign w:val="center"/>
          </w:tcPr>
          <w:p w14:paraId="0C03AC47" w14:textId="77777777" w:rsidR="007A6EBC" w:rsidRPr="006C109A" w:rsidRDefault="007A6EBC" w:rsidP="007A6EBC">
            <w:pPr>
              <w:keepLines/>
              <w:widowControl w:val="0"/>
              <w:jc w:val="center"/>
              <w:rPr>
                <w:sz w:val="20"/>
                <w:szCs w:val="20"/>
              </w:rPr>
            </w:pPr>
            <w:r w:rsidRPr="006C109A">
              <w:rPr>
                <w:sz w:val="20"/>
                <w:szCs w:val="20"/>
              </w:rPr>
              <w:t>77</w:t>
            </w:r>
          </w:p>
        </w:tc>
        <w:tc>
          <w:tcPr>
            <w:tcW w:w="1122" w:type="dxa"/>
            <w:tcBorders>
              <w:left w:val="single" w:sz="4" w:space="0" w:color="auto"/>
            </w:tcBorders>
            <w:vAlign w:val="center"/>
          </w:tcPr>
          <w:p w14:paraId="03F4C5C9" w14:textId="77777777" w:rsidR="007A6EBC" w:rsidRPr="006C109A" w:rsidRDefault="007A6EBC" w:rsidP="007A6EBC">
            <w:pPr>
              <w:jc w:val="center"/>
              <w:rPr>
                <w:sz w:val="20"/>
                <w:szCs w:val="32"/>
              </w:rPr>
            </w:pPr>
            <w:r w:rsidRPr="006C109A">
              <w:rPr>
                <w:sz w:val="20"/>
                <w:szCs w:val="32"/>
              </w:rPr>
              <w:t>95</w:t>
            </w:r>
          </w:p>
        </w:tc>
        <w:tc>
          <w:tcPr>
            <w:tcW w:w="1122" w:type="dxa"/>
            <w:vAlign w:val="center"/>
          </w:tcPr>
          <w:p w14:paraId="60546704" w14:textId="77777777" w:rsidR="007A6EBC" w:rsidRPr="006C109A" w:rsidRDefault="007A6EBC" w:rsidP="007A6EBC">
            <w:pPr>
              <w:jc w:val="center"/>
              <w:rPr>
                <w:sz w:val="20"/>
                <w:szCs w:val="32"/>
              </w:rPr>
            </w:pPr>
            <w:r w:rsidRPr="006C109A">
              <w:rPr>
                <w:sz w:val="20"/>
                <w:szCs w:val="32"/>
              </w:rPr>
              <w:t>86</w:t>
            </w:r>
          </w:p>
        </w:tc>
        <w:tc>
          <w:tcPr>
            <w:tcW w:w="1123" w:type="dxa"/>
            <w:tcBorders>
              <w:right w:val="single" w:sz="4" w:space="0" w:color="auto"/>
            </w:tcBorders>
            <w:vAlign w:val="center"/>
          </w:tcPr>
          <w:p w14:paraId="2100EABC" w14:textId="77777777" w:rsidR="007A6EBC" w:rsidRPr="006C109A" w:rsidRDefault="007A6EBC" w:rsidP="007A6EBC">
            <w:pPr>
              <w:jc w:val="center"/>
              <w:rPr>
                <w:sz w:val="20"/>
                <w:szCs w:val="32"/>
              </w:rPr>
            </w:pPr>
            <w:r w:rsidRPr="006C109A">
              <w:rPr>
                <w:sz w:val="20"/>
                <w:szCs w:val="32"/>
              </w:rPr>
              <w:t>76</w:t>
            </w:r>
          </w:p>
        </w:tc>
      </w:tr>
      <w:tr w:rsidR="007A6EBC" w:rsidRPr="006C109A" w14:paraId="0886FE38" w14:textId="77777777" w:rsidTr="007A6EBC">
        <w:trPr>
          <w:trHeight w:val="280"/>
          <w:jc w:val="center"/>
        </w:trPr>
        <w:tc>
          <w:tcPr>
            <w:tcW w:w="646" w:type="dxa"/>
            <w:tcBorders>
              <w:bottom w:val="single" w:sz="4" w:space="0" w:color="auto"/>
              <w:right w:val="single" w:sz="4" w:space="0" w:color="auto"/>
            </w:tcBorders>
            <w:vAlign w:val="center"/>
          </w:tcPr>
          <w:p w14:paraId="363E1E9D" w14:textId="77777777" w:rsidR="007A6EBC" w:rsidRPr="006C109A" w:rsidRDefault="007A6EBC" w:rsidP="007A6EBC">
            <w:pPr>
              <w:keepLines/>
              <w:widowControl w:val="0"/>
              <w:rPr>
                <w:rFonts w:cs="TimesLTStd-Roman"/>
                <w:color w:val="000000"/>
                <w:sz w:val="20"/>
                <w:szCs w:val="20"/>
              </w:rPr>
            </w:pPr>
            <w:r w:rsidRPr="006C109A">
              <w:rPr>
                <w:rFonts w:cs="TimesLTStd-Roman"/>
                <w:color w:val="000000"/>
                <w:sz w:val="20"/>
                <w:szCs w:val="20"/>
              </w:rPr>
              <w:t xml:space="preserve">2012 </w:t>
            </w:r>
          </w:p>
        </w:tc>
        <w:tc>
          <w:tcPr>
            <w:tcW w:w="1122" w:type="dxa"/>
            <w:tcBorders>
              <w:left w:val="single" w:sz="4" w:space="0" w:color="auto"/>
              <w:bottom w:val="single" w:sz="4" w:space="0" w:color="auto"/>
            </w:tcBorders>
            <w:vAlign w:val="center"/>
          </w:tcPr>
          <w:p w14:paraId="08292CBA" w14:textId="77777777" w:rsidR="007A6EBC" w:rsidRPr="006C109A" w:rsidRDefault="007A6EBC" w:rsidP="007A6EBC">
            <w:pPr>
              <w:keepLines/>
              <w:widowControl w:val="0"/>
              <w:jc w:val="center"/>
              <w:rPr>
                <w:sz w:val="20"/>
                <w:szCs w:val="20"/>
              </w:rPr>
            </w:pPr>
            <w:r w:rsidRPr="006C109A">
              <w:rPr>
                <w:sz w:val="20"/>
                <w:szCs w:val="20"/>
              </w:rPr>
              <w:t>95</w:t>
            </w:r>
          </w:p>
        </w:tc>
        <w:tc>
          <w:tcPr>
            <w:tcW w:w="1122" w:type="dxa"/>
            <w:tcBorders>
              <w:bottom w:val="single" w:sz="4" w:space="0" w:color="auto"/>
            </w:tcBorders>
            <w:vAlign w:val="center"/>
          </w:tcPr>
          <w:p w14:paraId="2EA59E2F" w14:textId="77777777" w:rsidR="007A6EBC" w:rsidRPr="006C109A" w:rsidRDefault="007A6EBC" w:rsidP="007A6EBC">
            <w:pPr>
              <w:keepLines/>
              <w:widowControl w:val="0"/>
              <w:jc w:val="center"/>
              <w:rPr>
                <w:sz w:val="20"/>
                <w:szCs w:val="20"/>
              </w:rPr>
            </w:pPr>
            <w:r w:rsidRPr="006C109A">
              <w:rPr>
                <w:sz w:val="20"/>
                <w:szCs w:val="20"/>
              </w:rPr>
              <w:t>86</w:t>
            </w:r>
          </w:p>
        </w:tc>
        <w:tc>
          <w:tcPr>
            <w:tcW w:w="1123" w:type="dxa"/>
            <w:gridSpan w:val="2"/>
            <w:tcBorders>
              <w:bottom w:val="single" w:sz="4" w:space="0" w:color="auto"/>
              <w:right w:val="single" w:sz="4" w:space="0" w:color="auto"/>
            </w:tcBorders>
            <w:vAlign w:val="center"/>
          </w:tcPr>
          <w:p w14:paraId="22B236E9" w14:textId="77777777" w:rsidR="007A6EBC" w:rsidRPr="006C109A" w:rsidRDefault="007A6EBC" w:rsidP="007A6EBC">
            <w:pPr>
              <w:keepLines/>
              <w:widowControl w:val="0"/>
              <w:jc w:val="center"/>
              <w:rPr>
                <w:sz w:val="20"/>
                <w:szCs w:val="20"/>
              </w:rPr>
            </w:pPr>
            <w:r w:rsidRPr="006C109A">
              <w:rPr>
                <w:sz w:val="20"/>
                <w:szCs w:val="20"/>
              </w:rPr>
              <w:t>74</w:t>
            </w:r>
          </w:p>
        </w:tc>
        <w:tc>
          <w:tcPr>
            <w:tcW w:w="1122" w:type="dxa"/>
            <w:tcBorders>
              <w:left w:val="single" w:sz="4" w:space="0" w:color="auto"/>
              <w:bottom w:val="single" w:sz="4" w:space="0" w:color="auto"/>
            </w:tcBorders>
            <w:vAlign w:val="center"/>
          </w:tcPr>
          <w:p w14:paraId="29F14736" w14:textId="77777777" w:rsidR="007A6EBC" w:rsidRPr="006C109A" w:rsidRDefault="007A6EBC" w:rsidP="007A6EBC">
            <w:pPr>
              <w:jc w:val="center"/>
              <w:rPr>
                <w:sz w:val="20"/>
                <w:szCs w:val="32"/>
              </w:rPr>
            </w:pPr>
            <w:r w:rsidRPr="006C109A">
              <w:rPr>
                <w:sz w:val="20"/>
                <w:szCs w:val="32"/>
              </w:rPr>
              <w:t>95</w:t>
            </w:r>
          </w:p>
        </w:tc>
        <w:tc>
          <w:tcPr>
            <w:tcW w:w="1122" w:type="dxa"/>
            <w:tcBorders>
              <w:bottom w:val="single" w:sz="4" w:space="0" w:color="auto"/>
            </w:tcBorders>
            <w:vAlign w:val="center"/>
          </w:tcPr>
          <w:p w14:paraId="2845AFCC" w14:textId="77777777" w:rsidR="007A6EBC" w:rsidRPr="006C109A" w:rsidRDefault="007A6EBC" w:rsidP="007A6EBC">
            <w:pPr>
              <w:jc w:val="center"/>
              <w:rPr>
                <w:sz w:val="20"/>
                <w:szCs w:val="32"/>
              </w:rPr>
            </w:pPr>
            <w:r w:rsidRPr="006C109A">
              <w:rPr>
                <w:sz w:val="20"/>
                <w:szCs w:val="32"/>
              </w:rPr>
              <w:t>85</w:t>
            </w:r>
          </w:p>
        </w:tc>
        <w:tc>
          <w:tcPr>
            <w:tcW w:w="1123" w:type="dxa"/>
            <w:tcBorders>
              <w:bottom w:val="single" w:sz="4" w:space="0" w:color="auto"/>
              <w:right w:val="single" w:sz="4" w:space="0" w:color="auto"/>
            </w:tcBorders>
            <w:vAlign w:val="center"/>
          </w:tcPr>
          <w:p w14:paraId="1475DC09" w14:textId="77777777" w:rsidR="007A6EBC" w:rsidRPr="006C109A" w:rsidRDefault="007A6EBC" w:rsidP="007A6EBC">
            <w:pPr>
              <w:jc w:val="center"/>
              <w:rPr>
                <w:sz w:val="20"/>
                <w:szCs w:val="32"/>
              </w:rPr>
            </w:pPr>
            <w:r w:rsidRPr="006C109A">
              <w:rPr>
                <w:sz w:val="20"/>
                <w:szCs w:val="32"/>
              </w:rPr>
              <w:t>72</w:t>
            </w:r>
          </w:p>
        </w:tc>
      </w:tr>
    </w:tbl>
    <w:p w14:paraId="3DD35F9E" w14:textId="55AF681A" w:rsidR="006C109A" w:rsidRDefault="006C109A" w:rsidP="00E334CC">
      <w:pPr>
        <w:keepLines/>
        <w:widowControl w:val="0"/>
        <w:spacing w:before="120" w:line="180" w:lineRule="atLeast"/>
        <w:ind w:left="90" w:right="117"/>
        <w:rPr>
          <w:rFonts w:cs="TimesLTStd-Roman"/>
          <w:color w:val="000000"/>
          <w:sz w:val="20"/>
          <w:szCs w:val="20"/>
        </w:rPr>
      </w:pPr>
      <w:r w:rsidRPr="006C109A">
        <w:rPr>
          <w:rFonts w:cs="TimesLTStd-Roman"/>
          <w:i/>
          <w:iCs/>
          <w:color w:val="000000"/>
          <w:sz w:val="20"/>
          <w:szCs w:val="20"/>
        </w:rPr>
        <w:t>Source:</w:t>
      </w:r>
      <w:r w:rsidRPr="006C109A">
        <w:rPr>
          <w:rFonts w:cs="TimesLTStd-Roman"/>
          <w:color w:val="000000"/>
          <w:sz w:val="20"/>
          <w:szCs w:val="20"/>
        </w:rPr>
        <w:t xml:space="preserve"> The 2008-2012 NAPLAN National Reports, </w:t>
      </w:r>
      <w:hyperlink r:id="rId13" w:history="1">
        <w:r w:rsidRPr="006C109A">
          <w:rPr>
            <w:rFonts w:cs="TimesLTStd-Roman"/>
            <w:color w:val="0000FF"/>
            <w:sz w:val="20"/>
            <w:szCs w:val="20"/>
            <w:u w:val="single"/>
          </w:rPr>
          <w:t>http://www.nap.edu.au/results-and-reports/national-reports.html</w:t>
        </w:r>
      </w:hyperlink>
      <w:r w:rsidRPr="006C109A">
        <w:rPr>
          <w:rFonts w:cs="TimesLTStd-Roman"/>
          <w:color w:val="000000"/>
          <w:sz w:val="20"/>
          <w:szCs w:val="20"/>
        </w:rPr>
        <w:t>. Entries are averages over grades 3, 5, 7 and 9.</w:t>
      </w:r>
      <w:r w:rsidR="00177E3B" w:rsidRPr="00177E3B">
        <w:t xml:space="preserve"> </w:t>
      </w:r>
      <w:r w:rsidR="00E334CC" w:rsidRPr="00E334CC">
        <w:rPr>
          <w:sz w:val="20"/>
          <w:szCs w:val="20"/>
        </w:rPr>
        <w:t xml:space="preserve">We present </w:t>
      </w:r>
      <w:r w:rsidR="00E334CC">
        <w:rPr>
          <w:rFonts w:cs="TimesLTStd-Roman"/>
          <w:color w:val="000000"/>
          <w:sz w:val="20"/>
          <w:szCs w:val="20"/>
        </w:rPr>
        <w:t>d</w:t>
      </w:r>
      <w:r w:rsidR="00177E3B" w:rsidRPr="00E334CC">
        <w:rPr>
          <w:rFonts w:cs="TimesLTStd-Roman"/>
          <w:color w:val="000000"/>
          <w:sz w:val="20"/>
          <w:szCs w:val="20"/>
        </w:rPr>
        <w:t>etailed</w:t>
      </w:r>
      <w:r w:rsidR="00177E3B">
        <w:rPr>
          <w:rFonts w:cs="TimesLTStd-Roman"/>
          <w:color w:val="000000"/>
          <w:sz w:val="20"/>
          <w:szCs w:val="20"/>
        </w:rPr>
        <w:t xml:space="preserve"> p</w:t>
      </w:r>
      <w:r w:rsidR="00177E3B" w:rsidRPr="00177E3B">
        <w:rPr>
          <w:rFonts w:cs="TimesLTStd-Roman"/>
          <w:color w:val="000000"/>
          <w:sz w:val="20"/>
          <w:szCs w:val="20"/>
        </w:rPr>
        <w:t>articipation rates</w:t>
      </w:r>
      <w:r w:rsidR="00177E3B">
        <w:rPr>
          <w:rFonts w:cs="TimesLTStd-Roman"/>
          <w:color w:val="000000"/>
          <w:sz w:val="20"/>
          <w:szCs w:val="20"/>
        </w:rPr>
        <w:t>,</w:t>
      </w:r>
      <w:r w:rsidR="00177E3B" w:rsidRPr="00177E3B">
        <w:rPr>
          <w:rFonts w:cs="TimesLTStd-Roman"/>
          <w:color w:val="000000"/>
          <w:sz w:val="20"/>
          <w:szCs w:val="20"/>
        </w:rPr>
        <w:t xml:space="preserve"> </w:t>
      </w:r>
      <w:r w:rsidR="00E334CC">
        <w:rPr>
          <w:rFonts w:cs="TimesLTStd-Roman"/>
          <w:color w:val="000000"/>
          <w:sz w:val="20"/>
          <w:szCs w:val="20"/>
        </w:rPr>
        <w:t>subject</w:t>
      </w:r>
      <w:r w:rsidR="00177E3B" w:rsidRPr="00177E3B">
        <w:rPr>
          <w:rFonts w:cs="TimesLTStd-Roman"/>
          <w:color w:val="000000"/>
          <w:sz w:val="20"/>
          <w:szCs w:val="20"/>
        </w:rPr>
        <w:t>, grade level, year and state/territory</w:t>
      </w:r>
      <w:r w:rsidR="00177E3B">
        <w:rPr>
          <w:rFonts w:cs="TimesLTStd-Roman"/>
          <w:color w:val="000000"/>
          <w:sz w:val="20"/>
          <w:szCs w:val="20"/>
        </w:rPr>
        <w:t>,</w:t>
      </w:r>
      <w:r w:rsidR="00177E3B" w:rsidRPr="00177E3B">
        <w:rPr>
          <w:rFonts w:cs="TimesLTStd-Roman"/>
          <w:color w:val="000000"/>
          <w:sz w:val="20"/>
          <w:szCs w:val="20"/>
        </w:rPr>
        <w:t xml:space="preserve"> in the Appendix.</w:t>
      </w:r>
    </w:p>
    <w:p w14:paraId="404E45AC" w14:textId="77777777" w:rsidR="00E334CC" w:rsidRDefault="00E334CC" w:rsidP="00E334CC">
      <w:pPr>
        <w:widowControl w:val="0"/>
        <w:spacing w:before="360" w:after="120" w:line="360" w:lineRule="auto"/>
        <w:ind w:right="14" w:firstLine="202"/>
        <w:jc w:val="both"/>
      </w:pPr>
      <w:r>
        <w:t>Table 3</w:t>
      </w:r>
      <w:r w:rsidRPr="006C109A">
        <w:t xml:space="preserve"> present</w:t>
      </w:r>
      <w:r>
        <w:t>s</w:t>
      </w:r>
      <w:r w:rsidRPr="006C109A">
        <w:t xml:space="preserve"> comparative summary statistics on NAPLAN </w:t>
      </w:r>
      <w:r>
        <w:t xml:space="preserve">participation rates </w:t>
      </w:r>
      <w:r w:rsidRPr="006C109A">
        <w:t>in two knowledge domains, reading and numeracy, averaged over four grade levels, 3, 5, 7, and 9, in five successive years: from 2008, the year befor</w:t>
      </w:r>
      <w:r>
        <w:t xml:space="preserve">e SEAM was implemented to 2012. </w:t>
      </w:r>
      <w:r w:rsidRPr="006C109A">
        <w:t xml:space="preserve">The participation rate is the </w:t>
      </w:r>
      <w:r>
        <w:t>share</w:t>
      </w:r>
      <w:r w:rsidRPr="006C109A">
        <w:t xml:space="preserve"> of students participating in the NAPLAN test as a percentage of the total number </w:t>
      </w:r>
      <w:r w:rsidRPr="006C109A">
        <w:lastRenderedPageBreak/>
        <w:t>of students in the year level</w:t>
      </w:r>
      <w:r>
        <w:t>. S</w:t>
      </w:r>
      <w:r w:rsidRPr="006C109A">
        <w:t xml:space="preserve">tudents exempted </w:t>
      </w:r>
      <w:r>
        <w:t xml:space="preserve">from the test </w:t>
      </w:r>
      <w:r w:rsidRPr="006C109A">
        <w:t>by the school</w:t>
      </w:r>
      <w:r>
        <w:t xml:space="preserve"> are counted as having participated while those</w:t>
      </w:r>
      <w:r w:rsidRPr="0069458C">
        <w:rPr>
          <w:sz w:val="20"/>
          <w:szCs w:val="32"/>
        </w:rPr>
        <w:t xml:space="preserve"> </w:t>
      </w:r>
      <w:r w:rsidRPr="0069458C">
        <w:rPr>
          <w:szCs w:val="40"/>
        </w:rPr>
        <w:t>classified as absent or withdrawn by</w:t>
      </w:r>
      <w:r>
        <w:rPr>
          <w:szCs w:val="40"/>
        </w:rPr>
        <w:t xml:space="preserve"> their </w:t>
      </w:r>
      <w:r w:rsidRPr="0069458C">
        <w:rPr>
          <w:szCs w:val="40"/>
        </w:rPr>
        <w:t>parents are counted as non-participating</w:t>
      </w:r>
      <w:r w:rsidRPr="006C109A">
        <w:t xml:space="preserve">. The pattern of change in participation rates is </w:t>
      </w:r>
      <w:r>
        <w:t xml:space="preserve">clearly </w:t>
      </w:r>
      <w:r w:rsidRPr="006C109A">
        <w:t xml:space="preserve">similar for both knowledge </w:t>
      </w:r>
      <w:proofErr w:type="spellStart"/>
      <w:r w:rsidRPr="006C109A">
        <w:t>domains.</w:t>
      </w:r>
      <w:r w:rsidR="00075750">
        <w:t>The</w:t>
      </w:r>
      <w:proofErr w:type="spellEnd"/>
      <w:r w:rsidR="00075750">
        <w:t xml:space="preserve"> data illustrate </w:t>
      </w:r>
      <w:r w:rsidR="00075750" w:rsidRPr="006C109A">
        <w:t>both the immediate impact, in 2009, of the perceived threat of SEAM on education outcomes in the Northern Territory</w:t>
      </w:r>
      <w:r w:rsidR="00075750">
        <w:t>,</w:t>
      </w:r>
      <w:r w:rsidR="00075750" w:rsidRPr="006C109A">
        <w:t xml:space="preserve"> and how this effect </w:t>
      </w:r>
      <w:r w:rsidR="00075750">
        <w:t>dissipated</w:t>
      </w:r>
      <w:r w:rsidR="00075750" w:rsidRPr="006C109A">
        <w:t xml:space="preserve"> in subsequent years, as th</w:t>
      </w:r>
      <w:r w:rsidR="001D1841">
        <w:t>is</w:t>
      </w:r>
      <w:r w:rsidR="00075750" w:rsidRPr="006C109A">
        <w:t xml:space="preserve"> threat </w:t>
      </w:r>
      <w:r w:rsidR="00075750">
        <w:t>proved hollow.</w:t>
      </w:r>
      <w:r w:rsidR="00075750" w:rsidRPr="006C109A">
        <w:t xml:space="preserve"> </w:t>
      </w:r>
      <w:r w:rsidR="00075750">
        <w:t xml:space="preserve">The </w:t>
      </w:r>
      <w:r w:rsidR="0069458C">
        <w:t xml:space="preserve">large </w:t>
      </w:r>
      <w:r w:rsidR="00075750" w:rsidRPr="006C109A">
        <w:t>increase in 2009—19 percentage points in reading</w:t>
      </w:r>
      <w:r w:rsidR="0069458C">
        <w:t>,</w:t>
      </w:r>
      <w:r w:rsidR="00075750" w:rsidRPr="006C109A">
        <w:t xml:space="preserve"> 17 </w:t>
      </w:r>
      <w:r w:rsidR="0069458C">
        <w:t xml:space="preserve">points </w:t>
      </w:r>
      <w:r w:rsidR="00075750" w:rsidRPr="006C109A">
        <w:t>in numeracy—</w:t>
      </w:r>
      <w:r w:rsidR="00075750">
        <w:t xml:space="preserve">was </w:t>
      </w:r>
      <w:r w:rsidR="0069458C">
        <w:t xml:space="preserve">unmatched in the </w:t>
      </w:r>
      <w:r w:rsidR="00075750" w:rsidRPr="006C109A">
        <w:t>general Indigenous population</w:t>
      </w:r>
      <w:r w:rsidR="00075750">
        <w:t xml:space="preserve">, and </w:t>
      </w:r>
      <w:r w:rsidR="00075750" w:rsidRPr="006C109A">
        <w:t>nearly erased</w:t>
      </w:r>
      <w:r w:rsidR="001D1841">
        <w:t>,</w:t>
      </w:r>
      <w:r w:rsidR="00075750" w:rsidRPr="006C109A">
        <w:t xml:space="preserve"> in a single year</w:t>
      </w:r>
      <w:r w:rsidR="001D1841">
        <w:t>,</w:t>
      </w:r>
      <w:r w:rsidR="00075750" w:rsidRPr="006C109A">
        <w:t xml:space="preserve"> the difference </w:t>
      </w:r>
      <w:r w:rsidR="001D1841">
        <w:t xml:space="preserve">in participation rates </w:t>
      </w:r>
      <w:r w:rsidR="00075750" w:rsidRPr="006C109A">
        <w:t xml:space="preserve">between the Indigenous population in the Northern Territory and </w:t>
      </w:r>
      <w:r w:rsidR="00075750">
        <w:t>the general Indigenous population. In subsequent years, as it became increasingly clear that the threat of withholding welfare payments would not be carried out, participation rates steadily declined—by ten percentage points in 2010—so that by 2012 less than a third of the initial gains remained.</w:t>
      </w:r>
      <w:r>
        <w:t xml:space="preserve"> </w:t>
      </w:r>
    </w:p>
    <w:p w14:paraId="22559B1A" w14:textId="15D39FF1" w:rsidR="001D1841" w:rsidRDefault="001D1841" w:rsidP="00E334CC">
      <w:pPr>
        <w:widowControl w:val="0"/>
        <w:spacing w:before="200" w:after="200" w:line="360" w:lineRule="auto"/>
        <w:ind w:right="14" w:firstLine="202"/>
        <w:jc w:val="both"/>
      </w:pPr>
      <w:r>
        <w:t xml:space="preserve">Surprisingly, the sharp rise in participation rates in 2009 did not trigger an overall decline in pass rates, as Table 4 shows. The pass rate in reading rose by three percentage points, mirroring a similar rise in the general Indigenous population, while the pass rate in numeracy fell by the same measure. Subsequent years saw yet further gains in reading pass rates, and fluctuating changes in numeracy. This suggests that those induced by SEAM to participate in NAPLAN </w:t>
      </w:r>
      <w:r w:rsidRPr="005E6070">
        <w:t xml:space="preserve">were reaching the minimum required level at a similar rate to </w:t>
      </w:r>
      <w:r>
        <w:t>those participating in NAPLAN before the implementation of SEAM.</w:t>
      </w:r>
    </w:p>
    <w:p w14:paraId="2B363287" w14:textId="77777777" w:rsidR="00E334CC" w:rsidRDefault="00E334CC">
      <w:pPr>
        <w:rPr>
          <w:rFonts w:cs="TimesLTStd-Roman"/>
          <w:smallCaps/>
          <w:color w:val="000000"/>
          <w:spacing w:val="-1"/>
          <w:w w:val="97"/>
        </w:rPr>
      </w:pPr>
      <w:r>
        <w:br w:type="page"/>
      </w:r>
    </w:p>
    <w:p w14:paraId="16FA75DF" w14:textId="780677FE" w:rsidR="006C109A" w:rsidRPr="006C109A" w:rsidRDefault="0029492A" w:rsidP="001D1841">
      <w:pPr>
        <w:pStyle w:val="TableTitle"/>
        <w:keepNext/>
        <w:widowControl w:val="0"/>
        <w:spacing w:before="480" w:after="120"/>
        <w:ind w:right="125"/>
      </w:pPr>
      <w:r>
        <w:lastRenderedPageBreak/>
        <w:t>Table 4—</w:t>
      </w:r>
      <w:r w:rsidR="007A6EBC">
        <w:t>NAPLAN pass rates</w:t>
      </w:r>
      <w:r w:rsidR="00B15494">
        <w:t xml:space="preserve">, by </w:t>
      </w:r>
      <w:r w:rsidR="001D1841">
        <w:t>subject</w:t>
      </w:r>
      <w:r w:rsidR="00B15494">
        <w:t xml:space="preserve"> and population group,</w:t>
      </w:r>
      <w:r w:rsidRPr="006C109A">
        <w:t xml:space="preserve"> averaged over grade levels,</w:t>
      </w:r>
      <w:r>
        <w:t xml:space="preserve"> %</w:t>
      </w:r>
    </w:p>
    <w:p w14:paraId="2188B811" w14:textId="77777777" w:rsidR="006C109A" w:rsidRPr="006C109A" w:rsidRDefault="006C109A" w:rsidP="006C109A">
      <w:pPr>
        <w:spacing w:before="120" w:line="180" w:lineRule="atLeast"/>
        <w:ind w:right="720"/>
        <w:rPr>
          <w:rFonts w:cs="TimesLTStd-Roman"/>
          <w:i/>
          <w:iCs/>
          <w:color w:val="000000"/>
          <w:sz w:val="16"/>
          <w:szCs w:val="16"/>
        </w:rPr>
      </w:pPr>
    </w:p>
    <w:tbl>
      <w:tblPr>
        <w:tblW w:w="7560" w:type="dxa"/>
        <w:tblLayout w:type="fixed"/>
        <w:tblLook w:val="04A0" w:firstRow="1" w:lastRow="0" w:firstColumn="1" w:lastColumn="0" w:noHBand="0" w:noVBand="1"/>
      </w:tblPr>
      <w:tblGrid>
        <w:gridCol w:w="646"/>
        <w:gridCol w:w="1152"/>
        <w:gridCol w:w="1152"/>
        <w:gridCol w:w="200"/>
        <w:gridCol w:w="953"/>
        <w:gridCol w:w="1152"/>
        <w:gridCol w:w="1152"/>
        <w:gridCol w:w="1153"/>
      </w:tblGrid>
      <w:tr w:rsidR="007A6EBC" w:rsidRPr="006C109A" w14:paraId="5D3DBFC7" w14:textId="77777777" w:rsidTr="007A6EBC">
        <w:trPr>
          <w:trHeight w:hRule="exact" w:val="259"/>
        </w:trPr>
        <w:tc>
          <w:tcPr>
            <w:tcW w:w="646" w:type="dxa"/>
            <w:tcBorders>
              <w:top w:val="double" w:sz="4" w:space="0" w:color="auto"/>
            </w:tcBorders>
          </w:tcPr>
          <w:p w14:paraId="150A25AB" w14:textId="77777777" w:rsidR="007A6EBC" w:rsidRPr="006C109A" w:rsidRDefault="007A6EBC" w:rsidP="006C109A">
            <w:pPr>
              <w:spacing w:line="180" w:lineRule="atLeast"/>
              <w:jc w:val="center"/>
              <w:rPr>
                <w:rFonts w:cs="TimesLTStd-Roman"/>
                <w:color w:val="000000"/>
                <w:szCs w:val="16"/>
              </w:rPr>
            </w:pPr>
          </w:p>
        </w:tc>
        <w:tc>
          <w:tcPr>
            <w:tcW w:w="2504" w:type="dxa"/>
            <w:gridSpan w:val="3"/>
            <w:tcBorders>
              <w:top w:val="double" w:sz="4" w:space="0" w:color="auto"/>
            </w:tcBorders>
          </w:tcPr>
          <w:p w14:paraId="4153BB28" w14:textId="77777777" w:rsidR="007A6EBC" w:rsidRPr="006C109A" w:rsidRDefault="007A6EBC" w:rsidP="006C109A">
            <w:pPr>
              <w:spacing w:line="180" w:lineRule="atLeast"/>
              <w:jc w:val="center"/>
              <w:rPr>
                <w:rFonts w:cs="TimesLTStd-Roman"/>
                <w:color w:val="000000"/>
                <w:sz w:val="20"/>
                <w:szCs w:val="20"/>
              </w:rPr>
            </w:pPr>
          </w:p>
        </w:tc>
        <w:tc>
          <w:tcPr>
            <w:tcW w:w="4410" w:type="dxa"/>
            <w:gridSpan w:val="4"/>
            <w:tcBorders>
              <w:top w:val="double" w:sz="4" w:space="0" w:color="auto"/>
            </w:tcBorders>
          </w:tcPr>
          <w:p w14:paraId="443FC38D" w14:textId="77777777" w:rsidR="007A6EBC" w:rsidRPr="006C109A" w:rsidRDefault="007A6EBC" w:rsidP="006C109A">
            <w:pPr>
              <w:spacing w:line="180" w:lineRule="atLeast"/>
              <w:jc w:val="center"/>
              <w:rPr>
                <w:rFonts w:cs="TimesLTStd-Roman"/>
                <w:color w:val="000000"/>
                <w:sz w:val="20"/>
                <w:szCs w:val="20"/>
              </w:rPr>
            </w:pPr>
          </w:p>
        </w:tc>
      </w:tr>
      <w:tr w:rsidR="007A6EBC" w:rsidRPr="006C109A" w14:paraId="1803F7BA" w14:textId="77777777" w:rsidTr="007A6EBC">
        <w:trPr>
          <w:trHeight w:hRule="exact" w:val="259"/>
        </w:trPr>
        <w:tc>
          <w:tcPr>
            <w:tcW w:w="646" w:type="dxa"/>
            <w:tcBorders>
              <w:right w:val="single" w:sz="4" w:space="0" w:color="auto"/>
            </w:tcBorders>
          </w:tcPr>
          <w:p w14:paraId="24F3210B" w14:textId="77777777" w:rsidR="007A6EBC" w:rsidRPr="006C109A" w:rsidRDefault="007A6EBC" w:rsidP="006C109A">
            <w:pPr>
              <w:spacing w:line="180" w:lineRule="atLeast"/>
              <w:jc w:val="center"/>
              <w:rPr>
                <w:rFonts w:cs="TimesLTStd-Roman"/>
                <w:color w:val="000000"/>
                <w:szCs w:val="16"/>
              </w:rPr>
            </w:pPr>
          </w:p>
        </w:tc>
        <w:tc>
          <w:tcPr>
            <w:tcW w:w="3457" w:type="dxa"/>
            <w:gridSpan w:val="4"/>
            <w:tcBorders>
              <w:left w:val="single" w:sz="4" w:space="0" w:color="auto"/>
              <w:right w:val="single" w:sz="4" w:space="0" w:color="auto"/>
            </w:tcBorders>
          </w:tcPr>
          <w:p w14:paraId="1E475E1E" w14:textId="77777777" w:rsidR="007A6EBC" w:rsidRPr="006C109A" w:rsidRDefault="007A6EBC" w:rsidP="006C109A">
            <w:pPr>
              <w:spacing w:line="180" w:lineRule="atLeast"/>
              <w:jc w:val="center"/>
              <w:rPr>
                <w:rFonts w:cs="TimesLTStd-Roman"/>
                <w:color w:val="000000"/>
                <w:sz w:val="20"/>
                <w:szCs w:val="20"/>
              </w:rPr>
            </w:pPr>
            <w:r>
              <w:rPr>
                <w:rFonts w:cs="TimesLTStd-Roman"/>
                <w:color w:val="000000"/>
                <w:sz w:val="20"/>
                <w:szCs w:val="20"/>
              </w:rPr>
              <w:t>Reading</w:t>
            </w:r>
            <w:r w:rsidRPr="006C109A">
              <w:rPr>
                <w:rFonts w:cs="TimesLTStd-Roman"/>
                <w:color w:val="000000"/>
                <w:sz w:val="20"/>
                <w:szCs w:val="20"/>
              </w:rPr>
              <w:t xml:space="preserve"> </w:t>
            </w:r>
          </w:p>
        </w:tc>
        <w:tc>
          <w:tcPr>
            <w:tcW w:w="3457" w:type="dxa"/>
            <w:gridSpan w:val="3"/>
            <w:tcBorders>
              <w:left w:val="single" w:sz="4" w:space="0" w:color="auto"/>
              <w:right w:val="single" w:sz="4" w:space="0" w:color="auto"/>
            </w:tcBorders>
          </w:tcPr>
          <w:p w14:paraId="32F26470" w14:textId="77777777" w:rsidR="007A6EBC" w:rsidRPr="006C109A" w:rsidRDefault="007A6EBC" w:rsidP="007A6EBC">
            <w:pPr>
              <w:spacing w:line="180" w:lineRule="atLeast"/>
              <w:jc w:val="center"/>
              <w:rPr>
                <w:rFonts w:cs="TimesLTStd-Roman"/>
                <w:color w:val="000000"/>
                <w:sz w:val="20"/>
                <w:szCs w:val="20"/>
              </w:rPr>
            </w:pPr>
            <w:r>
              <w:rPr>
                <w:rFonts w:cs="TimesLTStd-Roman"/>
                <w:color w:val="000000"/>
                <w:sz w:val="20"/>
                <w:szCs w:val="20"/>
              </w:rPr>
              <w:t>Numeracy</w:t>
            </w:r>
          </w:p>
        </w:tc>
      </w:tr>
      <w:tr w:rsidR="007A6EBC" w:rsidRPr="006C109A" w14:paraId="2AF4C0E4" w14:textId="77777777" w:rsidTr="007A6EBC">
        <w:trPr>
          <w:trHeight w:hRule="exact" w:val="733"/>
        </w:trPr>
        <w:tc>
          <w:tcPr>
            <w:tcW w:w="646" w:type="dxa"/>
            <w:tcBorders>
              <w:bottom w:val="single" w:sz="4" w:space="0" w:color="auto"/>
              <w:right w:val="single" w:sz="4" w:space="0" w:color="auto"/>
            </w:tcBorders>
          </w:tcPr>
          <w:p w14:paraId="6B4368A5" w14:textId="77777777" w:rsidR="007A6EBC" w:rsidRPr="006C109A" w:rsidRDefault="007A6EBC" w:rsidP="007A6EBC">
            <w:pPr>
              <w:spacing w:line="180" w:lineRule="atLeast"/>
              <w:rPr>
                <w:rFonts w:cs="TimesLTStd-Roman"/>
                <w:iCs/>
                <w:color w:val="000000"/>
                <w:szCs w:val="16"/>
              </w:rPr>
            </w:pPr>
          </w:p>
        </w:tc>
        <w:tc>
          <w:tcPr>
            <w:tcW w:w="1152" w:type="dxa"/>
            <w:tcBorders>
              <w:left w:val="single" w:sz="4" w:space="0" w:color="auto"/>
              <w:bottom w:val="single" w:sz="4" w:space="0" w:color="auto"/>
            </w:tcBorders>
            <w:vAlign w:val="center"/>
          </w:tcPr>
          <w:p w14:paraId="14126620" w14:textId="77777777" w:rsidR="007A6EBC" w:rsidRPr="006C109A" w:rsidRDefault="007A6EBC" w:rsidP="007A6EBC">
            <w:pPr>
              <w:spacing w:line="180" w:lineRule="atLeast"/>
              <w:jc w:val="center"/>
              <w:rPr>
                <w:rFonts w:cs="TimesLTStd-Roman"/>
                <w:color w:val="000000"/>
                <w:sz w:val="20"/>
                <w:szCs w:val="20"/>
              </w:rPr>
            </w:pPr>
            <w:r w:rsidRPr="006C109A">
              <w:rPr>
                <w:rFonts w:cs="TimesLTStd-Roman"/>
                <w:color w:val="000000"/>
                <w:sz w:val="20"/>
                <w:szCs w:val="20"/>
              </w:rPr>
              <w:t>All non-Indig</w:t>
            </w:r>
            <w:r>
              <w:rPr>
                <w:rFonts w:cs="TimesLTStd-Roman"/>
                <w:color w:val="000000"/>
                <w:sz w:val="20"/>
                <w:szCs w:val="20"/>
              </w:rPr>
              <w:t>enous</w:t>
            </w:r>
          </w:p>
        </w:tc>
        <w:tc>
          <w:tcPr>
            <w:tcW w:w="1152" w:type="dxa"/>
            <w:tcBorders>
              <w:bottom w:val="single" w:sz="4" w:space="0" w:color="auto"/>
            </w:tcBorders>
            <w:vAlign w:val="center"/>
          </w:tcPr>
          <w:p w14:paraId="20E4878F" w14:textId="77777777" w:rsidR="007A6EBC" w:rsidRPr="006C109A" w:rsidRDefault="007A6EBC" w:rsidP="007A6EBC">
            <w:pPr>
              <w:spacing w:line="180" w:lineRule="atLeast"/>
              <w:jc w:val="center"/>
              <w:rPr>
                <w:rFonts w:cs="TimesLTStd-Roman"/>
                <w:color w:val="000000"/>
                <w:sz w:val="20"/>
                <w:szCs w:val="20"/>
              </w:rPr>
            </w:pPr>
            <w:r w:rsidRPr="006C109A">
              <w:rPr>
                <w:rFonts w:cs="TimesLTStd-Roman"/>
                <w:color w:val="000000"/>
                <w:sz w:val="20"/>
                <w:szCs w:val="20"/>
              </w:rPr>
              <w:t>All Indig</w:t>
            </w:r>
            <w:r>
              <w:rPr>
                <w:rFonts w:cs="TimesLTStd-Roman"/>
                <w:color w:val="000000"/>
                <w:sz w:val="20"/>
                <w:szCs w:val="20"/>
              </w:rPr>
              <w:t>enous</w:t>
            </w:r>
          </w:p>
        </w:tc>
        <w:tc>
          <w:tcPr>
            <w:tcW w:w="1153" w:type="dxa"/>
            <w:gridSpan w:val="2"/>
            <w:tcBorders>
              <w:bottom w:val="single" w:sz="4" w:space="0" w:color="auto"/>
              <w:right w:val="single" w:sz="4" w:space="0" w:color="auto"/>
            </w:tcBorders>
            <w:vAlign w:val="center"/>
          </w:tcPr>
          <w:p w14:paraId="7A3139AF" w14:textId="77777777" w:rsidR="007A6EBC" w:rsidRPr="006C109A" w:rsidRDefault="007A6EBC" w:rsidP="007A6EBC">
            <w:pPr>
              <w:spacing w:line="180" w:lineRule="atLeast"/>
              <w:jc w:val="center"/>
              <w:rPr>
                <w:rFonts w:cs="TimesLTStd-Roman"/>
                <w:color w:val="000000"/>
                <w:sz w:val="20"/>
                <w:szCs w:val="20"/>
              </w:rPr>
            </w:pPr>
            <w:proofErr w:type="spellStart"/>
            <w:r w:rsidRPr="006C109A">
              <w:rPr>
                <w:rFonts w:cs="TimesLTStd-Roman"/>
                <w:color w:val="000000"/>
                <w:sz w:val="20"/>
                <w:szCs w:val="20"/>
              </w:rPr>
              <w:t>Indig</w:t>
            </w:r>
            <w:r>
              <w:rPr>
                <w:rFonts w:cs="TimesLTStd-Roman"/>
                <w:color w:val="000000"/>
                <w:sz w:val="20"/>
                <w:szCs w:val="20"/>
              </w:rPr>
              <w:t>enousi</w:t>
            </w:r>
            <w:r w:rsidRPr="006C109A">
              <w:rPr>
                <w:rFonts w:cs="TimesLTStd-Roman"/>
                <w:color w:val="000000"/>
                <w:sz w:val="20"/>
                <w:szCs w:val="20"/>
              </w:rPr>
              <w:t>n</w:t>
            </w:r>
            <w:proofErr w:type="spellEnd"/>
            <w:r w:rsidRPr="006C109A">
              <w:rPr>
                <w:rFonts w:cs="TimesLTStd-Roman"/>
                <w:color w:val="000000"/>
                <w:sz w:val="20"/>
                <w:szCs w:val="20"/>
              </w:rPr>
              <w:t xml:space="preserve"> NT</w:t>
            </w:r>
          </w:p>
        </w:tc>
        <w:tc>
          <w:tcPr>
            <w:tcW w:w="1152" w:type="dxa"/>
            <w:tcBorders>
              <w:left w:val="single" w:sz="4" w:space="0" w:color="auto"/>
              <w:bottom w:val="single" w:sz="4" w:space="0" w:color="auto"/>
            </w:tcBorders>
            <w:vAlign w:val="center"/>
          </w:tcPr>
          <w:p w14:paraId="4D7EEC61" w14:textId="77777777" w:rsidR="007A6EBC" w:rsidRPr="006C109A" w:rsidRDefault="007A6EBC" w:rsidP="007A6EBC">
            <w:pPr>
              <w:spacing w:line="180" w:lineRule="atLeast"/>
              <w:jc w:val="center"/>
              <w:rPr>
                <w:rFonts w:cs="TimesLTStd-Roman"/>
                <w:color w:val="000000"/>
                <w:sz w:val="20"/>
                <w:szCs w:val="20"/>
              </w:rPr>
            </w:pPr>
            <w:r w:rsidRPr="006C109A">
              <w:rPr>
                <w:rFonts w:cs="TimesLTStd-Roman"/>
                <w:color w:val="000000"/>
                <w:sz w:val="20"/>
                <w:szCs w:val="20"/>
              </w:rPr>
              <w:t>All non-Indig</w:t>
            </w:r>
            <w:r>
              <w:rPr>
                <w:rFonts w:cs="TimesLTStd-Roman"/>
                <w:color w:val="000000"/>
                <w:sz w:val="20"/>
                <w:szCs w:val="20"/>
              </w:rPr>
              <w:t>enous</w:t>
            </w:r>
          </w:p>
        </w:tc>
        <w:tc>
          <w:tcPr>
            <w:tcW w:w="1152" w:type="dxa"/>
            <w:tcBorders>
              <w:bottom w:val="single" w:sz="4" w:space="0" w:color="auto"/>
            </w:tcBorders>
            <w:vAlign w:val="center"/>
          </w:tcPr>
          <w:p w14:paraId="193F1E2E" w14:textId="77777777" w:rsidR="007A6EBC" w:rsidRPr="006C109A" w:rsidRDefault="007A6EBC" w:rsidP="007A6EBC">
            <w:pPr>
              <w:spacing w:line="180" w:lineRule="atLeast"/>
              <w:jc w:val="center"/>
              <w:rPr>
                <w:rFonts w:cs="TimesLTStd-Roman"/>
                <w:color w:val="000000"/>
                <w:sz w:val="20"/>
                <w:szCs w:val="20"/>
              </w:rPr>
            </w:pPr>
            <w:r w:rsidRPr="006C109A">
              <w:rPr>
                <w:rFonts w:cs="TimesLTStd-Roman"/>
                <w:color w:val="000000"/>
                <w:sz w:val="20"/>
                <w:szCs w:val="20"/>
              </w:rPr>
              <w:t>All Indig</w:t>
            </w:r>
            <w:r>
              <w:rPr>
                <w:rFonts w:cs="TimesLTStd-Roman"/>
                <w:color w:val="000000"/>
                <w:sz w:val="20"/>
                <w:szCs w:val="20"/>
              </w:rPr>
              <w:t>enous</w:t>
            </w:r>
          </w:p>
        </w:tc>
        <w:tc>
          <w:tcPr>
            <w:tcW w:w="1153" w:type="dxa"/>
            <w:tcBorders>
              <w:bottom w:val="single" w:sz="4" w:space="0" w:color="auto"/>
              <w:right w:val="single" w:sz="4" w:space="0" w:color="auto"/>
            </w:tcBorders>
            <w:vAlign w:val="center"/>
          </w:tcPr>
          <w:p w14:paraId="2575957E" w14:textId="77777777" w:rsidR="007A6EBC" w:rsidRPr="006C109A" w:rsidRDefault="007A6EBC" w:rsidP="007A6EBC">
            <w:pPr>
              <w:spacing w:line="180" w:lineRule="atLeast"/>
              <w:jc w:val="center"/>
              <w:rPr>
                <w:rFonts w:cs="TimesLTStd-Roman"/>
                <w:color w:val="000000"/>
                <w:sz w:val="20"/>
                <w:szCs w:val="20"/>
              </w:rPr>
            </w:pPr>
            <w:proofErr w:type="spellStart"/>
            <w:r w:rsidRPr="006C109A">
              <w:rPr>
                <w:rFonts w:cs="TimesLTStd-Roman"/>
                <w:color w:val="000000"/>
                <w:sz w:val="20"/>
                <w:szCs w:val="20"/>
              </w:rPr>
              <w:t>Indig</w:t>
            </w:r>
            <w:r>
              <w:rPr>
                <w:rFonts w:cs="TimesLTStd-Roman"/>
                <w:color w:val="000000"/>
                <w:sz w:val="20"/>
                <w:szCs w:val="20"/>
              </w:rPr>
              <w:t>enousi</w:t>
            </w:r>
            <w:r w:rsidRPr="006C109A">
              <w:rPr>
                <w:rFonts w:cs="TimesLTStd-Roman"/>
                <w:color w:val="000000"/>
                <w:sz w:val="20"/>
                <w:szCs w:val="20"/>
              </w:rPr>
              <w:t>n</w:t>
            </w:r>
            <w:proofErr w:type="spellEnd"/>
            <w:r w:rsidRPr="006C109A">
              <w:rPr>
                <w:rFonts w:cs="TimesLTStd-Roman"/>
                <w:color w:val="000000"/>
                <w:sz w:val="20"/>
                <w:szCs w:val="20"/>
              </w:rPr>
              <w:t xml:space="preserve"> NT</w:t>
            </w:r>
          </w:p>
        </w:tc>
      </w:tr>
      <w:tr w:rsidR="007A6EBC" w:rsidRPr="006C109A" w14:paraId="0B7ED9F8" w14:textId="77777777" w:rsidTr="007A6EBC">
        <w:trPr>
          <w:trHeight w:val="280"/>
        </w:trPr>
        <w:tc>
          <w:tcPr>
            <w:tcW w:w="646" w:type="dxa"/>
            <w:tcBorders>
              <w:top w:val="single" w:sz="4" w:space="0" w:color="auto"/>
              <w:right w:val="single" w:sz="4" w:space="0" w:color="auto"/>
            </w:tcBorders>
            <w:vAlign w:val="center"/>
          </w:tcPr>
          <w:p w14:paraId="0A98B490" w14:textId="77777777" w:rsidR="007A6EBC" w:rsidRPr="006C109A" w:rsidRDefault="007A6EBC" w:rsidP="007A6EBC">
            <w:pPr>
              <w:rPr>
                <w:rFonts w:cs="TimesLTStd-Roman"/>
                <w:color w:val="000000"/>
                <w:sz w:val="20"/>
                <w:szCs w:val="20"/>
              </w:rPr>
            </w:pPr>
            <w:r w:rsidRPr="006C109A">
              <w:rPr>
                <w:rFonts w:cs="TimesLTStd-Roman"/>
                <w:iCs/>
                <w:color w:val="000000"/>
                <w:sz w:val="20"/>
                <w:szCs w:val="20"/>
              </w:rPr>
              <w:t>2008</w:t>
            </w:r>
          </w:p>
        </w:tc>
        <w:tc>
          <w:tcPr>
            <w:tcW w:w="1152" w:type="dxa"/>
            <w:tcBorders>
              <w:top w:val="single" w:sz="4" w:space="0" w:color="auto"/>
              <w:left w:val="single" w:sz="4" w:space="0" w:color="auto"/>
            </w:tcBorders>
            <w:vAlign w:val="center"/>
          </w:tcPr>
          <w:p w14:paraId="1F53A19A" w14:textId="77777777" w:rsidR="007A6EBC" w:rsidRPr="006C109A" w:rsidRDefault="007A6EBC" w:rsidP="007A6EBC">
            <w:pPr>
              <w:keepLines/>
              <w:widowControl w:val="0"/>
              <w:jc w:val="center"/>
              <w:rPr>
                <w:sz w:val="20"/>
                <w:szCs w:val="20"/>
              </w:rPr>
            </w:pPr>
            <w:r w:rsidRPr="006C109A">
              <w:rPr>
                <w:sz w:val="20"/>
                <w:szCs w:val="20"/>
              </w:rPr>
              <w:t>95</w:t>
            </w:r>
          </w:p>
        </w:tc>
        <w:tc>
          <w:tcPr>
            <w:tcW w:w="1152" w:type="dxa"/>
            <w:tcBorders>
              <w:top w:val="single" w:sz="4" w:space="0" w:color="auto"/>
            </w:tcBorders>
            <w:vAlign w:val="center"/>
          </w:tcPr>
          <w:p w14:paraId="666B47A4" w14:textId="77777777" w:rsidR="007A6EBC" w:rsidRPr="006C109A" w:rsidRDefault="007A6EBC" w:rsidP="007A6EBC">
            <w:pPr>
              <w:keepLines/>
              <w:widowControl w:val="0"/>
              <w:jc w:val="center"/>
              <w:rPr>
                <w:sz w:val="20"/>
                <w:szCs w:val="20"/>
              </w:rPr>
            </w:pPr>
            <w:r w:rsidRPr="006C109A">
              <w:rPr>
                <w:sz w:val="20"/>
                <w:szCs w:val="20"/>
              </w:rPr>
              <w:t>70</w:t>
            </w:r>
          </w:p>
        </w:tc>
        <w:tc>
          <w:tcPr>
            <w:tcW w:w="1153" w:type="dxa"/>
            <w:gridSpan w:val="2"/>
            <w:tcBorders>
              <w:top w:val="single" w:sz="4" w:space="0" w:color="auto"/>
              <w:right w:val="single" w:sz="4" w:space="0" w:color="auto"/>
            </w:tcBorders>
            <w:vAlign w:val="center"/>
          </w:tcPr>
          <w:p w14:paraId="3CA84F59" w14:textId="77777777" w:rsidR="007A6EBC" w:rsidRPr="006C109A" w:rsidRDefault="007A6EBC" w:rsidP="007A6EBC">
            <w:pPr>
              <w:keepLines/>
              <w:widowControl w:val="0"/>
              <w:jc w:val="center"/>
              <w:rPr>
                <w:sz w:val="20"/>
                <w:szCs w:val="20"/>
              </w:rPr>
            </w:pPr>
            <w:r w:rsidRPr="006C109A">
              <w:rPr>
                <w:sz w:val="20"/>
                <w:szCs w:val="20"/>
              </w:rPr>
              <w:t>33</w:t>
            </w:r>
          </w:p>
        </w:tc>
        <w:tc>
          <w:tcPr>
            <w:tcW w:w="1152" w:type="dxa"/>
            <w:tcBorders>
              <w:top w:val="single" w:sz="4" w:space="0" w:color="auto"/>
              <w:left w:val="single" w:sz="4" w:space="0" w:color="auto"/>
            </w:tcBorders>
            <w:vAlign w:val="center"/>
          </w:tcPr>
          <w:p w14:paraId="1FF8CAF9" w14:textId="77777777" w:rsidR="007A6EBC" w:rsidRPr="006C109A" w:rsidRDefault="007A6EBC" w:rsidP="007A6EBC">
            <w:pPr>
              <w:jc w:val="center"/>
              <w:rPr>
                <w:sz w:val="20"/>
                <w:szCs w:val="32"/>
              </w:rPr>
            </w:pPr>
            <w:r w:rsidRPr="006C109A">
              <w:rPr>
                <w:sz w:val="20"/>
                <w:szCs w:val="32"/>
              </w:rPr>
              <w:t>97</w:t>
            </w:r>
          </w:p>
        </w:tc>
        <w:tc>
          <w:tcPr>
            <w:tcW w:w="1152" w:type="dxa"/>
            <w:tcBorders>
              <w:top w:val="single" w:sz="4" w:space="0" w:color="auto"/>
            </w:tcBorders>
            <w:vAlign w:val="center"/>
          </w:tcPr>
          <w:p w14:paraId="268F6A6E" w14:textId="77777777" w:rsidR="007A6EBC" w:rsidRPr="006C109A" w:rsidRDefault="007A6EBC" w:rsidP="007A6EBC">
            <w:pPr>
              <w:jc w:val="center"/>
              <w:rPr>
                <w:sz w:val="20"/>
                <w:szCs w:val="32"/>
              </w:rPr>
            </w:pPr>
            <w:r w:rsidRPr="006C109A">
              <w:rPr>
                <w:sz w:val="20"/>
                <w:szCs w:val="32"/>
              </w:rPr>
              <w:t>77</w:t>
            </w:r>
          </w:p>
        </w:tc>
        <w:tc>
          <w:tcPr>
            <w:tcW w:w="1153" w:type="dxa"/>
            <w:tcBorders>
              <w:top w:val="single" w:sz="4" w:space="0" w:color="auto"/>
              <w:right w:val="single" w:sz="4" w:space="0" w:color="auto"/>
            </w:tcBorders>
            <w:vAlign w:val="center"/>
          </w:tcPr>
          <w:p w14:paraId="66F2CBBC" w14:textId="77777777" w:rsidR="007A6EBC" w:rsidRPr="006C109A" w:rsidRDefault="007A6EBC" w:rsidP="007A6EBC">
            <w:pPr>
              <w:jc w:val="center"/>
              <w:rPr>
                <w:sz w:val="20"/>
                <w:szCs w:val="32"/>
              </w:rPr>
            </w:pPr>
            <w:r w:rsidRPr="006C109A">
              <w:rPr>
                <w:sz w:val="20"/>
                <w:szCs w:val="32"/>
              </w:rPr>
              <w:t>48</w:t>
            </w:r>
          </w:p>
        </w:tc>
      </w:tr>
      <w:tr w:rsidR="007A6EBC" w:rsidRPr="006C109A" w14:paraId="676881F8" w14:textId="77777777" w:rsidTr="007A6EBC">
        <w:trPr>
          <w:trHeight w:val="280"/>
        </w:trPr>
        <w:tc>
          <w:tcPr>
            <w:tcW w:w="646" w:type="dxa"/>
            <w:tcBorders>
              <w:right w:val="single" w:sz="4" w:space="0" w:color="auto"/>
            </w:tcBorders>
            <w:vAlign w:val="center"/>
          </w:tcPr>
          <w:p w14:paraId="1C7CBD70" w14:textId="77777777" w:rsidR="007A6EBC" w:rsidRPr="006C109A" w:rsidRDefault="007A6EBC" w:rsidP="007A6EBC">
            <w:pPr>
              <w:rPr>
                <w:rFonts w:cs="TimesLTStd-Roman"/>
                <w:color w:val="000000"/>
                <w:sz w:val="20"/>
                <w:szCs w:val="20"/>
              </w:rPr>
            </w:pPr>
            <w:r w:rsidRPr="006C109A">
              <w:rPr>
                <w:rFonts w:cs="TimesLTStd-Roman"/>
                <w:color w:val="000000"/>
                <w:sz w:val="20"/>
                <w:szCs w:val="20"/>
              </w:rPr>
              <w:t>2009</w:t>
            </w:r>
          </w:p>
        </w:tc>
        <w:tc>
          <w:tcPr>
            <w:tcW w:w="1152" w:type="dxa"/>
            <w:tcBorders>
              <w:left w:val="single" w:sz="4" w:space="0" w:color="auto"/>
            </w:tcBorders>
            <w:vAlign w:val="center"/>
          </w:tcPr>
          <w:p w14:paraId="787C29F5" w14:textId="77777777" w:rsidR="007A6EBC" w:rsidRPr="006C109A" w:rsidRDefault="007A6EBC" w:rsidP="007A6EBC">
            <w:pPr>
              <w:keepLines/>
              <w:widowControl w:val="0"/>
              <w:jc w:val="center"/>
              <w:rPr>
                <w:sz w:val="20"/>
                <w:szCs w:val="20"/>
              </w:rPr>
            </w:pPr>
            <w:r w:rsidRPr="006C109A">
              <w:rPr>
                <w:sz w:val="20"/>
                <w:szCs w:val="20"/>
              </w:rPr>
              <w:t>96</w:t>
            </w:r>
          </w:p>
        </w:tc>
        <w:tc>
          <w:tcPr>
            <w:tcW w:w="1152" w:type="dxa"/>
            <w:vAlign w:val="center"/>
          </w:tcPr>
          <w:p w14:paraId="4E6285A7" w14:textId="77777777" w:rsidR="007A6EBC" w:rsidRPr="006C109A" w:rsidRDefault="007A6EBC" w:rsidP="007A6EBC">
            <w:pPr>
              <w:keepLines/>
              <w:widowControl w:val="0"/>
              <w:jc w:val="center"/>
              <w:rPr>
                <w:sz w:val="20"/>
                <w:szCs w:val="20"/>
              </w:rPr>
            </w:pPr>
            <w:r w:rsidRPr="006C109A">
              <w:rPr>
                <w:sz w:val="20"/>
                <w:szCs w:val="20"/>
              </w:rPr>
              <w:t>73</w:t>
            </w:r>
          </w:p>
        </w:tc>
        <w:tc>
          <w:tcPr>
            <w:tcW w:w="1153" w:type="dxa"/>
            <w:gridSpan w:val="2"/>
            <w:tcBorders>
              <w:right w:val="single" w:sz="4" w:space="0" w:color="auto"/>
            </w:tcBorders>
            <w:vAlign w:val="center"/>
          </w:tcPr>
          <w:p w14:paraId="34AE3601" w14:textId="77777777" w:rsidR="007A6EBC" w:rsidRPr="006C109A" w:rsidRDefault="007A6EBC" w:rsidP="007A6EBC">
            <w:pPr>
              <w:keepLines/>
              <w:widowControl w:val="0"/>
              <w:jc w:val="center"/>
              <w:rPr>
                <w:sz w:val="20"/>
                <w:szCs w:val="20"/>
              </w:rPr>
            </w:pPr>
            <w:r w:rsidRPr="006C109A">
              <w:rPr>
                <w:sz w:val="20"/>
                <w:szCs w:val="20"/>
              </w:rPr>
              <w:t>36</w:t>
            </w:r>
          </w:p>
        </w:tc>
        <w:tc>
          <w:tcPr>
            <w:tcW w:w="1152" w:type="dxa"/>
            <w:tcBorders>
              <w:left w:val="single" w:sz="4" w:space="0" w:color="auto"/>
            </w:tcBorders>
            <w:vAlign w:val="center"/>
          </w:tcPr>
          <w:p w14:paraId="1A5A9224" w14:textId="77777777" w:rsidR="007A6EBC" w:rsidRPr="006C109A" w:rsidRDefault="007A6EBC" w:rsidP="007A6EBC">
            <w:pPr>
              <w:jc w:val="center"/>
              <w:rPr>
                <w:sz w:val="20"/>
                <w:szCs w:val="32"/>
              </w:rPr>
            </w:pPr>
            <w:r w:rsidRPr="006C109A">
              <w:rPr>
                <w:sz w:val="20"/>
                <w:szCs w:val="32"/>
              </w:rPr>
              <w:t>97</w:t>
            </w:r>
          </w:p>
        </w:tc>
        <w:tc>
          <w:tcPr>
            <w:tcW w:w="1152" w:type="dxa"/>
            <w:vAlign w:val="center"/>
          </w:tcPr>
          <w:p w14:paraId="1FA53763" w14:textId="77777777" w:rsidR="007A6EBC" w:rsidRPr="006C109A" w:rsidRDefault="007A6EBC" w:rsidP="007A6EBC">
            <w:pPr>
              <w:jc w:val="center"/>
              <w:rPr>
                <w:sz w:val="20"/>
                <w:szCs w:val="32"/>
              </w:rPr>
            </w:pPr>
            <w:r w:rsidRPr="006C109A">
              <w:rPr>
                <w:sz w:val="20"/>
                <w:szCs w:val="32"/>
              </w:rPr>
              <w:t>77</w:t>
            </w:r>
          </w:p>
        </w:tc>
        <w:tc>
          <w:tcPr>
            <w:tcW w:w="1153" w:type="dxa"/>
            <w:tcBorders>
              <w:right w:val="single" w:sz="4" w:space="0" w:color="auto"/>
            </w:tcBorders>
            <w:vAlign w:val="center"/>
          </w:tcPr>
          <w:p w14:paraId="204A8F4F" w14:textId="77777777" w:rsidR="007A6EBC" w:rsidRPr="006C109A" w:rsidRDefault="007A6EBC" w:rsidP="007A6EBC">
            <w:pPr>
              <w:jc w:val="center"/>
              <w:rPr>
                <w:sz w:val="20"/>
                <w:szCs w:val="32"/>
              </w:rPr>
            </w:pPr>
            <w:r w:rsidRPr="006C109A">
              <w:rPr>
                <w:sz w:val="20"/>
                <w:szCs w:val="32"/>
              </w:rPr>
              <w:t>45</w:t>
            </w:r>
          </w:p>
        </w:tc>
      </w:tr>
      <w:tr w:rsidR="007A6EBC" w:rsidRPr="006C109A" w14:paraId="23C2170A" w14:textId="77777777" w:rsidTr="007A6EBC">
        <w:trPr>
          <w:trHeight w:val="280"/>
        </w:trPr>
        <w:tc>
          <w:tcPr>
            <w:tcW w:w="646" w:type="dxa"/>
            <w:tcBorders>
              <w:right w:val="single" w:sz="4" w:space="0" w:color="auto"/>
            </w:tcBorders>
            <w:vAlign w:val="center"/>
          </w:tcPr>
          <w:p w14:paraId="2F4EF0BE" w14:textId="77777777" w:rsidR="007A6EBC" w:rsidRPr="006C109A" w:rsidRDefault="007A6EBC" w:rsidP="007A6EBC">
            <w:pPr>
              <w:rPr>
                <w:rFonts w:cs="TimesLTStd-Roman"/>
                <w:color w:val="000000"/>
                <w:sz w:val="20"/>
                <w:szCs w:val="20"/>
              </w:rPr>
            </w:pPr>
            <w:r w:rsidRPr="006C109A">
              <w:rPr>
                <w:rFonts w:cs="TimesLTStd-Roman"/>
                <w:color w:val="000000"/>
                <w:sz w:val="20"/>
                <w:szCs w:val="20"/>
              </w:rPr>
              <w:t>2010</w:t>
            </w:r>
          </w:p>
        </w:tc>
        <w:tc>
          <w:tcPr>
            <w:tcW w:w="1152" w:type="dxa"/>
            <w:tcBorders>
              <w:left w:val="single" w:sz="4" w:space="0" w:color="auto"/>
            </w:tcBorders>
            <w:vAlign w:val="center"/>
          </w:tcPr>
          <w:p w14:paraId="02768736" w14:textId="77777777" w:rsidR="007A6EBC" w:rsidRPr="006C109A" w:rsidRDefault="007A6EBC" w:rsidP="007A6EBC">
            <w:pPr>
              <w:keepLines/>
              <w:widowControl w:val="0"/>
              <w:jc w:val="center"/>
              <w:rPr>
                <w:sz w:val="20"/>
                <w:szCs w:val="20"/>
              </w:rPr>
            </w:pPr>
            <w:r w:rsidRPr="006C109A">
              <w:rPr>
                <w:sz w:val="20"/>
                <w:szCs w:val="20"/>
              </w:rPr>
              <w:t>96</w:t>
            </w:r>
          </w:p>
        </w:tc>
        <w:tc>
          <w:tcPr>
            <w:tcW w:w="1152" w:type="dxa"/>
            <w:vAlign w:val="center"/>
          </w:tcPr>
          <w:p w14:paraId="182DE275" w14:textId="77777777" w:rsidR="007A6EBC" w:rsidRPr="006C109A" w:rsidRDefault="007A6EBC" w:rsidP="007A6EBC">
            <w:pPr>
              <w:keepLines/>
              <w:widowControl w:val="0"/>
              <w:jc w:val="center"/>
              <w:rPr>
                <w:sz w:val="20"/>
                <w:szCs w:val="20"/>
              </w:rPr>
            </w:pPr>
            <w:r w:rsidRPr="006C109A">
              <w:rPr>
                <w:sz w:val="20"/>
                <w:szCs w:val="20"/>
              </w:rPr>
              <w:t>73</w:t>
            </w:r>
          </w:p>
        </w:tc>
        <w:tc>
          <w:tcPr>
            <w:tcW w:w="1153" w:type="dxa"/>
            <w:gridSpan w:val="2"/>
            <w:tcBorders>
              <w:right w:val="single" w:sz="4" w:space="0" w:color="auto"/>
            </w:tcBorders>
            <w:vAlign w:val="center"/>
          </w:tcPr>
          <w:p w14:paraId="3355730E" w14:textId="77777777" w:rsidR="007A6EBC" w:rsidRPr="006C109A" w:rsidRDefault="007A6EBC" w:rsidP="007A6EBC">
            <w:pPr>
              <w:keepLines/>
              <w:widowControl w:val="0"/>
              <w:jc w:val="center"/>
              <w:rPr>
                <w:sz w:val="20"/>
                <w:szCs w:val="20"/>
              </w:rPr>
            </w:pPr>
            <w:r w:rsidRPr="006C109A">
              <w:rPr>
                <w:sz w:val="20"/>
                <w:szCs w:val="20"/>
              </w:rPr>
              <w:t>39</w:t>
            </w:r>
          </w:p>
        </w:tc>
        <w:tc>
          <w:tcPr>
            <w:tcW w:w="1152" w:type="dxa"/>
            <w:tcBorders>
              <w:left w:val="single" w:sz="4" w:space="0" w:color="auto"/>
            </w:tcBorders>
            <w:vAlign w:val="center"/>
          </w:tcPr>
          <w:p w14:paraId="702BB4AD" w14:textId="77777777" w:rsidR="007A6EBC" w:rsidRPr="006C109A" w:rsidRDefault="007A6EBC" w:rsidP="007A6EBC">
            <w:pPr>
              <w:jc w:val="center"/>
              <w:rPr>
                <w:sz w:val="20"/>
                <w:szCs w:val="32"/>
              </w:rPr>
            </w:pPr>
            <w:r w:rsidRPr="006C109A">
              <w:rPr>
                <w:sz w:val="20"/>
                <w:szCs w:val="32"/>
              </w:rPr>
              <w:t>97</w:t>
            </w:r>
          </w:p>
        </w:tc>
        <w:tc>
          <w:tcPr>
            <w:tcW w:w="1152" w:type="dxa"/>
            <w:vAlign w:val="center"/>
          </w:tcPr>
          <w:p w14:paraId="57BF53D2" w14:textId="77777777" w:rsidR="007A6EBC" w:rsidRPr="006C109A" w:rsidRDefault="007A6EBC" w:rsidP="007A6EBC">
            <w:pPr>
              <w:jc w:val="center"/>
              <w:rPr>
                <w:sz w:val="20"/>
                <w:szCs w:val="32"/>
              </w:rPr>
            </w:pPr>
            <w:r w:rsidRPr="006C109A">
              <w:rPr>
                <w:sz w:val="20"/>
                <w:szCs w:val="32"/>
              </w:rPr>
              <w:t>76</w:t>
            </w:r>
          </w:p>
        </w:tc>
        <w:tc>
          <w:tcPr>
            <w:tcW w:w="1153" w:type="dxa"/>
            <w:tcBorders>
              <w:right w:val="single" w:sz="4" w:space="0" w:color="auto"/>
            </w:tcBorders>
            <w:vAlign w:val="center"/>
          </w:tcPr>
          <w:p w14:paraId="61FF8C9C" w14:textId="77777777" w:rsidR="007A6EBC" w:rsidRPr="006C109A" w:rsidRDefault="007A6EBC" w:rsidP="007A6EBC">
            <w:pPr>
              <w:jc w:val="center"/>
              <w:rPr>
                <w:sz w:val="20"/>
                <w:szCs w:val="32"/>
              </w:rPr>
            </w:pPr>
            <w:r w:rsidRPr="006C109A">
              <w:rPr>
                <w:sz w:val="20"/>
                <w:szCs w:val="32"/>
              </w:rPr>
              <w:t>43</w:t>
            </w:r>
          </w:p>
        </w:tc>
      </w:tr>
      <w:tr w:rsidR="007A6EBC" w:rsidRPr="006C109A" w14:paraId="7E0DC7B0" w14:textId="77777777" w:rsidTr="007A6EBC">
        <w:trPr>
          <w:trHeight w:val="280"/>
        </w:trPr>
        <w:tc>
          <w:tcPr>
            <w:tcW w:w="646" w:type="dxa"/>
            <w:tcBorders>
              <w:right w:val="single" w:sz="4" w:space="0" w:color="auto"/>
            </w:tcBorders>
            <w:vAlign w:val="center"/>
          </w:tcPr>
          <w:p w14:paraId="67FA905B" w14:textId="77777777" w:rsidR="007A6EBC" w:rsidRPr="006C109A" w:rsidRDefault="007A6EBC" w:rsidP="007A6EBC">
            <w:pPr>
              <w:rPr>
                <w:rFonts w:cs="TimesLTStd-Roman"/>
                <w:color w:val="000000"/>
                <w:sz w:val="20"/>
                <w:szCs w:val="20"/>
              </w:rPr>
            </w:pPr>
            <w:r w:rsidRPr="006C109A">
              <w:rPr>
                <w:rFonts w:cs="TimesLTStd-Roman"/>
                <w:iCs/>
                <w:color w:val="000000"/>
                <w:sz w:val="20"/>
                <w:szCs w:val="20"/>
              </w:rPr>
              <w:t>2011</w:t>
            </w:r>
          </w:p>
        </w:tc>
        <w:tc>
          <w:tcPr>
            <w:tcW w:w="1152" w:type="dxa"/>
            <w:tcBorders>
              <w:left w:val="single" w:sz="4" w:space="0" w:color="auto"/>
            </w:tcBorders>
            <w:vAlign w:val="center"/>
          </w:tcPr>
          <w:p w14:paraId="1280D5F8" w14:textId="77777777" w:rsidR="007A6EBC" w:rsidRPr="006C109A" w:rsidRDefault="007A6EBC" w:rsidP="007A6EBC">
            <w:pPr>
              <w:keepLines/>
              <w:widowControl w:val="0"/>
              <w:jc w:val="center"/>
              <w:rPr>
                <w:sz w:val="20"/>
                <w:szCs w:val="20"/>
              </w:rPr>
            </w:pPr>
            <w:r w:rsidRPr="006C109A">
              <w:rPr>
                <w:sz w:val="20"/>
                <w:szCs w:val="20"/>
              </w:rPr>
              <w:t>96</w:t>
            </w:r>
          </w:p>
        </w:tc>
        <w:tc>
          <w:tcPr>
            <w:tcW w:w="1152" w:type="dxa"/>
            <w:vAlign w:val="center"/>
          </w:tcPr>
          <w:p w14:paraId="739D3593" w14:textId="77777777" w:rsidR="007A6EBC" w:rsidRPr="006C109A" w:rsidRDefault="007A6EBC" w:rsidP="007A6EBC">
            <w:pPr>
              <w:keepLines/>
              <w:widowControl w:val="0"/>
              <w:jc w:val="center"/>
              <w:rPr>
                <w:sz w:val="20"/>
                <w:szCs w:val="20"/>
              </w:rPr>
            </w:pPr>
            <w:r w:rsidRPr="006C109A">
              <w:rPr>
                <w:sz w:val="20"/>
                <w:szCs w:val="20"/>
              </w:rPr>
              <w:t>75</w:t>
            </w:r>
          </w:p>
        </w:tc>
        <w:tc>
          <w:tcPr>
            <w:tcW w:w="1153" w:type="dxa"/>
            <w:gridSpan w:val="2"/>
            <w:tcBorders>
              <w:right w:val="single" w:sz="4" w:space="0" w:color="auto"/>
            </w:tcBorders>
            <w:vAlign w:val="center"/>
          </w:tcPr>
          <w:p w14:paraId="711D483A" w14:textId="77777777" w:rsidR="007A6EBC" w:rsidRPr="006C109A" w:rsidRDefault="007A6EBC" w:rsidP="007A6EBC">
            <w:pPr>
              <w:keepLines/>
              <w:widowControl w:val="0"/>
              <w:jc w:val="center"/>
              <w:rPr>
                <w:sz w:val="20"/>
                <w:szCs w:val="20"/>
              </w:rPr>
            </w:pPr>
            <w:r w:rsidRPr="006C109A">
              <w:rPr>
                <w:sz w:val="20"/>
                <w:szCs w:val="20"/>
              </w:rPr>
              <w:t>39</w:t>
            </w:r>
          </w:p>
        </w:tc>
        <w:tc>
          <w:tcPr>
            <w:tcW w:w="1152" w:type="dxa"/>
            <w:tcBorders>
              <w:left w:val="single" w:sz="4" w:space="0" w:color="auto"/>
            </w:tcBorders>
            <w:vAlign w:val="center"/>
          </w:tcPr>
          <w:p w14:paraId="0B68D4C8" w14:textId="77777777" w:rsidR="007A6EBC" w:rsidRPr="006C109A" w:rsidRDefault="007A6EBC" w:rsidP="007A6EBC">
            <w:pPr>
              <w:jc w:val="center"/>
              <w:rPr>
                <w:sz w:val="20"/>
                <w:szCs w:val="32"/>
              </w:rPr>
            </w:pPr>
            <w:r w:rsidRPr="006C109A">
              <w:rPr>
                <w:sz w:val="20"/>
                <w:szCs w:val="32"/>
              </w:rPr>
              <w:t>97</w:t>
            </w:r>
          </w:p>
        </w:tc>
        <w:tc>
          <w:tcPr>
            <w:tcW w:w="1152" w:type="dxa"/>
            <w:vAlign w:val="center"/>
          </w:tcPr>
          <w:p w14:paraId="4FB7ABEF" w14:textId="77777777" w:rsidR="007A6EBC" w:rsidRPr="006C109A" w:rsidRDefault="007A6EBC" w:rsidP="007A6EBC">
            <w:pPr>
              <w:jc w:val="center"/>
              <w:rPr>
                <w:sz w:val="20"/>
                <w:szCs w:val="32"/>
              </w:rPr>
            </w:pPr>
            <w:r w:rsidRPr="006C109A">
              <w:rPr>
                <w:sz w:val="20"/>
                <w:szCs w:val="32"/>
              </w:rPr>
              <w:t>79</w:t>
            </w:r>
          </w:p>
        </w:tc>
        <w:tc>
          <w:tcPr>
            <w:tcW w:w="1153" w:type="dxa"/>
            <w:tcBorders>
              <w:right w:val="single" w:sz="4" w:space="0" w:color="auto"/>
            </w:tcBorders>
            <w:vAlign w:val="center"/>
          </w:tcPr>
          <w:p w14:paraId="544BE144" w14:textId="77777777" w:rsidR="007A6EBC" w:rsidRPr="006C109A" w:rsidRDefault="007A6EBC" w:rsidP="007A6EBC">
            <w:pPr>
              <w:jc w:val="center"/>
              <w:rPr>
                <w:sz w:val="20"/>
                <w:szCs w:val="32"/>
              </w:rPr>
            </w:pPr>
            <w:r w:rsidRPr="006C109A">
              <w:rPr>
                <w:sz w:val="20"/>
                <w:szCs w:val="32"/>
              </w:rPr>
              <w:t>49</w:t>
            </w:r>
          </w:p>
        </w:tc>
      </w:tr>
      <w:tr w:rsidR="007A6EBC" w:rsidRPr="006C109A" w14:paraId="092670B8" w14:textId="77777777" w:rsidTr="007A6EBC">
        <w:trPr>
          <w:trHeight w:val="280"/>
        </w:trPr>
        <w:tc>
          <w:tcPr>
            <w:tcW w:w="646" w:type="dxa"/>
            <w:tcBorders>
              <w:bottom w:val="single" w:sz="4" w:space="0" w:color="auto"/>
              <w:right w:val="single" w:sz="4" w:space="0" w:color="auto"/>
            </w:tcBorders>
            <w:vAlign w:val="center"/>
          </w:tcPr>
          <w:p w14:paraId="71B2B0E8" w14:textId="77777777" w:rsidR="007A6EBC" w:rsidRPr="006C109A" w:rsidRDefault="007A6EBC" w:rsidP="007A6EBC">
            <w:pPr>
              <w:rPr>
                <w:rFonts w:cs="TimesLTStd-Roman"/>
                <w:color w:val="000000"/>
                <w:sz w:val="20"/>
                <w:szCs w:val="20"/>
              </w:rPr>
            </w:pPr>
            <w:r w:rsidRPr="006C109A">
              <w:rPr>
                <w:rFonts w:cs="TimesLTStd-Roman"/>
                <w:color w:val="000000"/>
                <w:sz w:val="20"/>
                <w:szCs w:val="20"/>
              </w:rPr>
              <w:t xml:space="preserve">2012 </w:t>
            </w:r>
          </w:p>
        </w:tc>
        <w:tc>
          <w:tcPr>
            <w:tcW w:w="1152" w:type="dxa"/>
            <w:tcBorders>
              <w:left w:val="single" w:sz="4" w:space="0" w:color="auto"/>
              <w:bottom w:val="single" w:sz="4" w:space="0" w:color="auto"/>
            </w:tcBorders>
            <w:vAlign w:val="center"/>
          </w:tcPr>
          <w:p w14:paraId="6F39ABCA" w14:textId="77777777" w:rsidR="007A6EBC" w:rsidRPr="006C109A" w:rsidRDefault="007A6EBC" w:rsidP="007A6EBC">
            <w:pPr>
              <w:keepLines/>
              <w:widowControl w:val="0"/>
              <w:jc w:val="center"/>
              <w:rPr>
                <w:sz w:val="20"/>
                <w:szCs w:val="20"/>
              </w:rPr>
            </w:pPr>
            <w:r w:rsidRPr="006C109A">
              <w:rPr>
                <w:sz w:val="20"/>
                <w:szCs w:val="20"/>
              </w:rPr>
              <w:t>96</w:t>
            </w:r>
          </w:p>
        </w:tc>
        <w:tc>
          <w:tcPr>
            <w:tcW w:w="1152" w:type="dxa"/>
            <w:tcBorders>
              <w:bottom w:val="single" w:sz="4" w:space="0" w:color="auto"/>
            </w:tcBorders>
            <w:vAlign w:val="center"/>
          </w:tcPr>
          <w:p w14:paraId="128059CC" w14:textId="77777777" w:rsidR="007A6EBC" w:rsidRPr="006C109A" w:rsidRDefault="007A6EBC" w:rsidP="007A6EBC">
            <w:pPr>
              <w:keepLines/>
              <w:widowControl w:val="0"/>
              <w:jc w:val="center"/>
              <w:rPr>
                <w:sz w:val="20"/>
                <w:szCs w:val="20"/>
              </w:rPr>
            </w:pPr>
            <w:r w:rsidRPr="006C109A">
              <w:rPr>
                <w:sz w:val="20"/>
                <w:szCs w:val="20"/>
              </w:rPr>
              <w:t>73</w:t>
            </w:r>
          </w:p>
        </w:tc>
        <w:tc>
          <w:tcPr>
            <w:tcW w:w="1153" w:type="dxa"/>
            <w:gridSpan w:val="2"/>
            <w:tcBorders>
              <w:bottom w:val="single" w:sz="4" w:space="0" w:color="auto"/>
              <w:right w:val="single" w:sz="4" w:space="0" w:color="auto"/>
            </w:tcBorders>
            <w:vAlign w:val="center"/>
          </w:tcPr>
          <w:p w14:paraId="6101B2DC" w14:textId="77777777" w:rsidR="007A6EBC" w:rsidRPr="006C109A" w:rsidRDefault="007A6EBC" w:rsidP="007A6EBC">
            <w:pPr>
              <w:keepLines/>
              <w:widowControl w:val="0"/>
              <w:jc w:val="center"/>
              <w:rPr>
                <w:sz w:val="20"/>
                <w:szCs w:val="20"/>
              </w:rPr>
            </w:pPr>
            <w:r w:rsidRPr="006C109A">
              <w:rPr>
                <w:sz w:val="20"/>
                <w:szCs w:val="20"/>
              </w:rPr>
              <w:t>36</w:t>
            </w:r>
          </w:p>
        </w:tc>
        <w:tc>
          <w:tcPr>
            <w:tcW w:w="1152" w:type="dxa"/>
            <w:tcBorders>
              <w:left w:val="single" w:sz="4" w:space="0" w:color="auto"/>
              <w:bottom w:val="single" w:sz="4" w:space="0" w:color="auto"/>
            </w:tcBorders>
            <w:vAlign w:val="center"/>
          </w:tcPr>
          <w:p w14:paraId="19379444" w14:textId="77777777" w:rsidR="007A6EBC" w:rsidRPr="006C109A" w:rsidRDefault="007A6EBC" w:rsidP="007A6EBC">
            <w:pPr>
              <w:jc w:val="center"/>
              <w:rPr>
                <w:sz w:val="20"/>
                <w:szCs w:val="32"/>
              </w:rPr>
            </w:pPr>
            <w:r w:rsidRPr="006C109A">
              <w:rPr>
                <w:sz w:val="20"/>
                <w:szCs w:val="32"/>
              </w:rPr>
              <w:t>96</w:t>
            </w:r>
          </w:p>
        </w:tc>
        <w:tc>
          <w:tcPr>
            <w:tcW w:w="1152" w:type="dxa"/>
            <w:tcBorders>
              <w:bottom w:val="single" w:sz="4" w:space="0" w:color="auto"/>
            </w:tcBorders>
            <w:vAlign w:val="center"/>
          </w:tcPr>
          <w:p w14:paraId="043FAF3A" w14:textId="77777777" w:rsidR="007A6EBC" w:rsidRPr="006C109A" w:rsidRDefault="007A6EBC" w:rsidP="007A6EBC">
            <w:pPr>
              <w:jc w:val="center"/>
              <w:rPr>
                <w:sz w:val="20"/>
                <w:szCs w:val="32"/>
              </w:rPr>
            </w:pPr>
            <w:r w:rsidRPr="006C109A">
              <w:rPr>
                <w:sz w:val="20"/>
                <w:szCs w:val="32"/>
              </w:rPr>
              <w:t>75</w:t>
            </w:r>
          </w:p>
        </w:tc>
        <w:tc>
          <w:tcPr>
            <w:tcW w:w="1153" w:type="dxa"/>
            <w:tcBorders>
              <w:bottom w:val="single" w:sz="4" w:space="0" w:color="auto"/>
              <w:right w:val="single" w:sz="4" w:space="0" w:color="auto"/>
            </w:tcBorders>
            <w:vAlign w:val="center"/>
          </w:tcPr>
          <w:p w14:paraId="1A31F23B" w14:textId="77777777" w:rsidR="007A6EBC" w:rsidRPr="006C109A" w:rsidRDefault="007A6EBC" w:rsidP="007A6EBC">
            <w:pPr>
              <w:jc w:val="center"/>
              <w:rPr>
                <w:sz w:val="20"/>
                <w:szCs w:val="32"/>
              </w:rPr>
            </w:pPr>
            <w:r w:rsidRPr="006C109A">
              <w:rPr>
                <w:sz w:val="20"/>
                <w:szCs w:val="32"/>
              </w:rPr>
              <w:t>43</w:t>
            </w:r>
          </w:p>
        </w:tc>
      </w:tr>
    </w:tbl>
    <w:p w14:paraId="22BEE790" w14:textId="77777777" w:rsidR="006C109A" w:rsidRPr="006C109A" w:rsidRDefault="006C109A" w:rsidP="006C109A">
      <w:pPr>
        <w:spacing w:before="120" w:line="180" w:lineRule="atLeast"/>
        <w:ind w:right="720"/>
        <w:rPr>
          <w:rFonts w:cs="TimesLTStd-Roman"/>
          <w:color w:val="000000"/>
          <w:sz w:val="20"/>
          <w:szCs w:val="20"/>
        </w:rPr>
      </w:pPr>
      <w:r w:rsidRPr="006C109A">
        <w:rPr>
          <w:rFonts w:cs="TimesLTStd-Roman"/>
          <w:i/>
          <w:iCs/>
          <w:color w:val="000000"/>
          <w:sz w:val="20"/>
          <w:szCs w:val="20"/>
        </w:rPr>
        <w:t>Source:</w:t>
      </w:r>
      <w:r w:rsidRPr="006C109A">
        <w:rPr>
          <w:rFonts w:cs="TimesLTStd-Roman"/>
          <w:color w:val="000000"/>
          <w:sz w:val="20"/>
          <w:szCs w:val="20"/>
        </w:rPr>
        <w:t xml:space="preserve"> The 2008-2012 NAPLAN National Reports, </w:t>
      </w:r>
      <w:hyperlink r:id="rId14" w:history="1">
        <w:r w:rsidRPr="006C109A">
          <w:rPr>
            <w:rFonts w:cs="TimesLTStd-Roman"/>
            <w:color w:val="0000FF"/>
            <w:sz w:val="20"/>
            <w:szCs w:val="20"/>
            <w:u w:val="single"/>
          </w:rPr>
          <w:t>http://www.nap.edu.au/results-and-reports/national-reports.html</w:t>
        </w:r>
      </w:hyperlink>
      <w:r w:rsidRPr="006C109A">
        <w:rPr>
          <w:rFonts w:cs="TimesLTStd-Roman"/>
          <w:color w:val="000000"/>
          <w:sz w:val="20"/>
          <w:szCs w:val="20"/>
        </w:rPr>
        <w:t>. Entries are averages over grades 3, 5, 7 and 9.</w:t>
      </w:r>
    </w:p>
    <w:p w14:paraId="10C632F1" w14:textId="77777777" w:rsidR="006C109A" w:rsidRPr="006C109A" w:rsidRDefault="006C109A" w:rsidP="006C109A">
      <w:pPr>
        <w:spacing w:before="120" w:line="180" w:lineRule="atLeast"/>
        <w:ind w:right="720"/>
        <w:rPr>
          <w:rFonts w:cs="TimesLTStd-Roman"/>
          <w:color w:val="000000"/>
          <w:sz w:val="16"/>
          <w:szCs w:val="16"/>
        </w:rPr>
      </w:pPr>
    </w:p>
    <w:p w14:paraId="722D77A3" w14:textId="77777777" w:rsidR="001D1841" w:rsidRDefault="001D1841" w:rsidP="00566F89">
      <w:pPr>
        <w:spacing w:after="120"/>
        <w:ind w:right="17" w:firstLine="204"/>
        <w:contextualSpacing/>
      </w:pPr>
    </w:p>
    <w:p w14:paraId="4E69858A" w14:textId="0319EBC9" w:rsidR="00CF6E21" w:rsidRDefault="007F79D5" w:rsidP="00E334CC">
      <w:pPr>
        <w:spacing w:after="120" w:line="360" w:lineRule="auto"/>
        <w:ind w:right="17" w:firstLine="204"/>
        <w:contextualSpacing/>
        <w:jc w:val="both"/>
      </w:pPr>
      <w:r>
        <w:t xml:space="preserve">Figures </w:t>
      </w:r>
      <w:r w:rsidR="00566F89">
        <w:t>2</w:t>
      </w:r>
      <w:r>
        <w:t xml:space="preserve"> and </w:t>
      </w:r>
      <w:r w:rsidR="00566F89">
        <w:t>3</w:t>
      </w:r>
      <w:r>
        <w:t xml:space="preserve"> </w:t>
      </w:r>
      <w:r w:rsidR="00A3623E">
        <w:rPr>
          <w:lang w:bidi="he-IL"/>
        </w:rPr>
        <w:t>compare the changing levels of</w:t>
      </w:r>
      <w:r>
        <w:t xml:space="preserve"> participation in NAPLAN reading and numeracy tests among Indigenous students</w:t>
      </w:r>
      <w:r w:rsidR="00A3623E">
        <w:t xml:space="preserve"> across Australia's eight </w:t>
      </w:r>
      <w:r>
        <w:t>state</w:t>
      </w:r>
      <w:r w:rsidR="00A3623E">
        <w:t xml:space="preserve">s and </w:t>
      </w:r>
      <w:r>
        <w:t>territor</w:t>
      </w:r>
      <w:r w:rsidR="00A3623E">
        <w:t>ies</w:t>
      </w:r>
      <w:r>
        <w:t xml:space="preserve"> </w:t>
      </w:r>
      <w:r w:rsidR="006C109A">
        <w:t>for each grade</w:t>
      </w:r>
      <w:r w:rsidR="00F51A5B">
        <w:t xml:space="preserve"> level</w:t>
      </w:r>
      <w:r w:rsidR="00A3623E">
        <w:t xml:space="preserve"> over time</w:t>
      </w:r>
      <w:r w:rsidR="00F51A5B">
        <w:t>. (T</w:t>
      </w:r>
      <w:r w:rsidR="00F51A5B" w:rsidRPr="00DA1034">
        <w:t xml:space="preserve">he underlying </w:t>
      </w:r>
      <w:r w:rsidR="00F51A5B" w:rsidRPr="00412A0B">
        <w:t>data</w:t>
      </w:r>
      <w:r w:rsidR="00F51A5B" w:rsidRPr="00DA1034">
        <w:t xml:space="preserve"> are in the appendix.</w:t>
      </w:r>
      <w:r w:rsidR="00F51A5B">
        <w:t>)</w:t>
      </w:r>
      <w:r w:rsidR="00A3623E">
        <w:t xml:space="preserve"> In both </w:t>
      </w:r>
      <w:r w:rsidR="001D1841">
        <w:t>subjects</w:t>
      </w:r>
      <w:r w:rsidR="00A3623E">
        <w:t xml:space="preserve">, the percentage of Indigenous students participating in NAPLAN in the </w:t>
      </w:r>
      <w:r w:rsidR="00E334CC">
        <w:t>Northern Territory</w:t>
      </w:r>
      <w:r w:rsidR="00A3623E">
        <w:t xml:space="preserve"> indicated by the black line, follows a markedly different pattern from that of Indigenous students in Australia's other states and territories, indicated by gray lines. In 2008, </w:t>
      </w:r>
      <w:r w:rsidR="001D1841">
        <w:t>before</w:t>
      </w:r>
      <w:r w:rsidR="00A3623E">
        <w:t xml:space="preserve"> SEAM, participation in NAPLAN among Indigenous students in the Northern Territory was the lowest in Australia—for all four grade levels </w:t>
      </w:r>
      <w:r w:rsidR="003B0DC6">
        <w:t>and</w:t>
      </w:r>
      <w:r w:rsidR="00A3623E">
        <w:t xml:space="preserve"> both </w:t>
      </w:r>
      <w:r w:rsidR="001D1841">
        <w:t>subject</w:t>
      </w:r>
      <w:r w:rsidR="003B0DC6">
        <w:t>s</w:t>
      </w:r>
      <w:r w:rsidR="00A3623E">
        <w:t xml:space="preserve">. The subsequent spike in 2009 raises the Northern Territory Indigenous participation share so that it is no longer the lowest of all states and territories in any grade. However, this increase falls off immediately, and in each subsequent year </w:t>
      </w:r>
      <w:r w:rsidR="003B0DC6">
        <w:t xml:space="preserve">it is </w:t>
      </w:r>
      <w:r w:rsidR="00A3623E">
        <w:t>again the lowest of all states and territories in all four grade levels,</w:t>
      </w:r>
      <w:r w:rsidR="001D1841">
        <w:t xml:space="preserve"> and both subject</w:t>
      </w:r>
      <w:r w:rsidR="003B0DC6">
        <w:t>s.</w:t>
      </w:r>
      <w:r w:rsidR="00A3623E">
        <w:t xml:space="preserve"> Nonetheless, in all grade levels, NAPLAN participation rates in 2012 are noticeably higher than in 2008. </w:t>
      </w:r>
    </w:p>
    <w:p w14:paraId="28C9BF2E" w14:textId="77777777" w:rsidR="00CF6E21" w:rsidRDefault="00CF6E21" w:rsidP="006C109A">
      <w:pPr>
        <w:spacing w:after="240"/>
        <w:ind w:right="17"/>
        <w:contextualSpacing/>
        <w:rPr>
          <w:noProof/>
          <w:lang w:bidi="he-IL"/>
        </w:rPr>
        <w:sectPr w:rsidR="00CF6E21" w:rsidSect="0067428A">
          <w:footerReference w:type="default" r:id="rId15"/>
          <w:pgSz w:w="11907" w:h="16839" w:code="9"/>
          <w:pgMar w:top="2160" w:right="2160" w:bottom="2160" w:left="2160" w:header="720" w:footer="720" w:gutter="0"/>
          <w:cols w:space="360"/>
          <w:titlePg/>
          <w:docGrid w:linePitch="326"/>
        </w:sectPr>
      </w:pPr>
    </w:p>
    <w:p w14:paraId="523DD7D3" w14:textId="77777777" w:rsidR="006C109A" w:rsidRDefault="009F52EA" w:rsidP="00CF6E21">
      <w:pPr>
        <w:spacing w:after="240"/>
        <w:ind w:left="-284" w:right="17"/>
        <w:contextualSpacing/>
        <w:jc w:val="center"/>
      </w:pPr>
      <w:r>
        <w:rPr>
          <w:noProof/>
          <w:lang w:bidi="he-IL"/>
        </w:rPr>
        <w:lastRenderedPageBreak/>
        <w:drawing>
          <wp:inline distT="0" distB="0" distL="0" distR="0" wp14:anchorId="39E71C4E" wp14:editId="5E156B15">
            <wp:extent cx="6724650" cy="5239828"/>
            <wp:effectExtent l="0" t="0" r="0" b="0"/>
            <wp:docPr id="1" name="Picture 1" descr="trendreadparticip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ndreadparticipa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33556" cy="5246768"/>
                    </a:xfrm>
                    <a:prstGeom prst="rect">
                      <a:avLst/>
                    </a:prstGeom>
                    <a:noFill/>
                    <a:ln>
                      <a:noFill/>
                    </a:ln>
                  </pic:spPr>
                </pic:pic>
              </a:graphicData>
            </a:graphic>
          </wp:inline>
        </w:drawing>
      </w:r>
    </w:p>
    <w:p w14:paraId="38FE07D3" w14:textId="4DB82E31" w:rsidR="006C109A" w:rsidRPr="009A0E20" w:rsidRDefault="006C109A" w:rsidP="00566F89">
      <w:pPr>
        <w:pStyle w:val="FigureTitle"/>
        <w:spacing w:before="240" w:after="0"/>
        <w:rPr>
          <w:sz w:val="24"/>
          <w:szCs w:val="24"/>
        </w:rPr>
      </w:pPr>
      <w:proofErr w:type="gramStart"/>
      <w:r w:rsidRPr="009A0E20">
        <w:rPr>
          <w:sz w:val="24"/>
          <w:szCs w:val="24"/>
        </w:rPr>
        <w:t xml:space="preserve">Figure </w:t>
      </w:r>
      <w:r w:rsidR="00566F89">
        <w:rPr>
          <w:sz w:val="24"/>
          <w:szCs w:val="24"/>
        </w:rPr>
        <w:t>2</w:t>
      </w:r>
      <w:r w:rsidRPr="009A0E20">
        <w:rPr>
          <w:sz w:val="24"/>
          <w:szCs w:val="24"/>
        </w:rPr>
        <w:t>.</w:t>
      </w:r>
      <w:proofErr w:type="gramEnd"/>
      <w:r w:rsidRPr="009A0E20">
        <w:rPr>
          <w:sz w:val="24"/>
          <w:szCs w:val="24"/>
        </w:rPr>
        <w:t xml:space="preserve"> </w:t>
      </w:r>
      <w:r>
        <w:rPr>
          <w:sz w:val="24"/>
          <w:szCs w:val="24"/>
        </w:rPr>
        <w:t xml:space="preserve">Indigenous participation </w:t>
      </w:r>
      <w:r w:rsidRPr="009A0E20">
        <w:rPr>
          <w:sz w:val="24"/>
          <w:szCs w:val="24"/>
        </w:rPr>
        <w:t xml:space="preserve">in NAPLAN reading </w:t>
      </w:r>
      <w:r w:rsidR="007F79D5">
        <w:rPr>
          <w:sz w:val="24"/>
          <w:szCs w:val="24"/>
        </w:rPr>
        <w:t xml:space="preserve">tests </w:t>
      </w:r>
      <w:r w:rsidRPr="009A0E20">
        <w:rPr>
          <w:sz w:val="24"/>
          <w:szCs w:val="24"/>
        </w:rPr>
        <w:t xml:space="preserve">by </w:t>
      </w:r>
      <w:r w:rsidR="007F79D5">
        <w:rPr>
          <w:sz w:val="24"/>
          <w:szCs w:val="24"/>
        </w:rPr>
        <w:t>year, grade and s</w:t>
      </w:r>
      <w:r w:rsidRPr="009A0E20">
        <w:rPr>
          <w:sz w:val="24"/>
          <w:szCs w:val="24"/>
        </w:rPr>
        <w:t>tate/</w:t>
      </w:r>
      <w:r w:rsidR="007F79D5">
        <w:rPr>
          <w:sz w:val="24"/>
          <w:szCs w:val="24"/>
        </w:rPr>
        <w:t>t</w:t>
      </w:r>
      <w:r w:rsidRPr="009A0E20">
        <w:rPr>
          <w:sz w:val="24"/>
          <w:szCs w:val="24"/>
        </w:rPr>
        <w:t>erritory</w:t>
      </w:r>
    </w:p>
    <w:p w14:paraId="047EF110" w14:textId="77777777" w:rsidR="006C109A" w:rsidRPr="009A0E20" w:rsidRDefault="006C109A" w:rsidP="00CF6E21">
      <w:pPr>
        <w:pStyle w:val="FigureNotes"/>
        <w:ind w:right="-585"/>
        <w:jc w:val="center"/>
        <w:rPr>
          <w:smallCaps/>
          <w:spacing w:val="-1"/>
          <w:w w:val="97"/>
          <w:sz w:val="20"/>
          <w:szCs w:val="20"/>
        </w:rPr>
      </w:pPr>
      <w:r w:rsidRPr="009A0E20">
        <w:rPr>
          <w:i/>
          <w:sz w:val="20"/>
          <w:szCs w:val="20"/>
        </w:rPr>
        <w:t>Source:</w:t>
      </w:r>
      <w:r w:rsidRPr="009A0E20">
        <w:rPr>
          <w:sz w:val="20"/>
          <w:szCs w:val="20"/>
        </w:rPr>
        <w:t xml:space="preserve"> N</w:t>
      </w:r>
      <w:r>
        <w:rPr>
          <w:sz w:val="20"/>
          <w:szCs w:val="20"/>
        </w:rPr>
        <w:t xml:space="preserve">APLAN National Reports. </w:t>
      </w:r>
      <w:r w:rsidRPr="009A0E20">
        <w:rPr>
          <w:sz w:val="20"/>
          <w:szCs w:val="20"/>
        </w:rPr>
        <w:t>http://www.nap.edu.au/results-and-reports/national-reports.html.</w:t>
      </w:r>
    </w:p>
    <w:p w14:paraId="14F2AA43" w14:textId="77777777" w:rsidR="006C109A" w:rsidRDefault="009F52EA" w:rsidP="00CF6E21">
      <w:pPr>
        <w:jc w:val="center"/>
      </w:pPr>
      <w:r>
        <w:rPr>
          <w:noProof/>
          <w:lang w:bidi="he-IL"/>
        </w:rPr>
        <w:lastRenderedPageBreak/>
        <w:drawing>
          <wp:inline distT="0" distB="0" distL="0" distR="0" wp14:anchorId="0E47D44E" wp14:editId="15EF3933">
            <wp:extent cx="6663193" cy="5075526"/>
            <wp:effectExtent l="0" t="0" r="4445" b="0"/>
            <wp:docPr id="2" name="Picture 2" descr="trendmathparticip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ndmathparticipa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77785" cy="5086641"/>
                    </a:xfrm>
                    <a:prstGeom prst="rect">
                      <a:avLst/>
                    </a:prstGeom>
                    <a:noFill/>
                    <a:ln>
                      <a:noFill/>
                    </a:ln>
                  </pic:spPr>
                </pic:pic>
              </a:graphicData>
            </a:graphic>
          </wp:inline>
        </w:drawing>
      </w:r>
    </w:p>
    <w:p w14:paraId="44E7AB2E" w14:textId="3EAA056B" w:rsidR="00BF62D6" w:rsidRPr="009A0E20" w:rsidRDefault="00BF62D6" w:rsidP="00566F89">
      <w:pPr>
        <w:pStyle w:val="FigureTitle"/>
        <w:spacing w:before="240" w:after="0"/>
        <w:ind w:right="38"/>
        <w:rPr>
          <w:sz w:val="24"/>
          <w:szCs w:val="24"/>
        </w:rPr>
      </w:pPr>
      <w:proofErr w:type="gramStart"/>
      <w:r w:rsidRPr="009A0E20">
        <w:rPr>
          <w:sz w:val="24"/>
          <w:szCs w:val="24"/>
        </w:rPr>
        <w:t xml:space="preserve">Figure </w:t>
      </w:r>
      <w:r w:rsidR="00566F89">
        <w:rPr>
          <w:sz w:val="24"/>
          <w:szCs w:val="24"/>
        </w:rPr>
        <w:t>3</w:t>
      </w:r>
      <w:r w:rsidRPr="009A0E20">
        <w:rPr>
          <w:sz w:val="24"/>
          <w:szCs w:val="24"/>
        </w:rPr>
        <w:t>.</w:t>
      </w:r>
      <w:proofErr w:type="gramEnd"/>
      <w:r w:rsidRPr="009A0E20">
        <w:rPr>
          <w:sz w:val="24"/>
          <w:szCs w:val="24"/>
        </w:rPr>
        <w:t xml:space="preserve"> </w:t>
      </w:r>
      <w:r>
        <w:rPr>
          <w:sz w:val="24"/>
          <w:szCs w:val="24"/>
        </w:rPr>
        <w:t xml:space="preserve">Indigenous participation </w:t>
      </w:r>
      <w:r w:rsidRPr="009A0E20">
        <w:rPr>
          <w:sz w:val="24"/>
          <w:szCs w:val="24"/>
        </w:rPr>
        <w:t xml:space="preserve">in NAPLAN </w:t>
      </w:r>
      <w:r>
        <w:rPr>
          <w:sz w:val="24"/>
          <w:szCs w:val="24"/>
        </w:rPr>
        <w:t>numeracy</w:t>
      </w:r>
      <w:r w:rsidRPr="009A0E20">
        <w:rPr>
          <w:sz w:val="24"/>
          <w:szCs w:val="24"/>
        </w:rPr>
        <w:t xml:space="preserve"> </w:t>
      </w:r>
      <w:r w:rsidR="007F79D5">
        <w:rPr>
          <w:sz w:val="24"/>
          <w:szCs w:val="24"/>
        </w:rPr>
        <w:t xml:space="preserve">tests </w:t>
      </w:r>
      <w:r w:rsidRPr="009A0E20">
        <w:rPr>
          <w:sz w:val="24"/>
          <w:szCs w:val="24"/>
        </w:rPr>
        <w:t xml:space="preserve">by </w:t>
      </w:r>
      <w:r w:rsidR="007F79D5">
        <w:rPr>
          <w:sz w:val="24"/>
          <w:szCs w:val="24"/>
        </w:rPr>
        <w:t>year, grade and state/t</w:t>
      </w:r>
      <w:r w:rsidRPr="009A0E20">
        <w:rPr>
          <w:sz w:val="24"/>
          <w:szCs w:val="24"/>
        </w:rPr>
        <w:t>erritory</w:t>
      </w:r>
    </w:p>
    <w:p w14:paraId="18E26DAC" w14:textId="789F204D" w:rsidR="00BF62D6" w:rsidRDefault="00BF62D6" w:rsidP="00A3623E">
      <w:pPr>
        <w:pStyle w:val="FigureNotes"/>
        <w:tabs>
          <w:tab w:val="clear" w:pos="440"/>
          <w:tab w:val="clear" w:pos="480"/>
        </w:tabs>
        <w:ind w:right="38"/>
        <w:jc w:val="center"/>
      </w:pPr>
      <w:r w:rsidRPr="009A0E20">
        <w:rPr>
          <w:i/>
          <w:sz w:val="20"/>
          <w:szCs w:val="20"/>
        </w:rPr>
        <w:t>Source:</w:t>
      </w:r>
      <w:r w:rsidRPr="009A0E20">
        <w:rPr>
          <w:sz w:val="20"/>
          <w:szCs w:val="20"/>
        </w:rPr>
        <w:t xml:space="preserve"> NAPLAN National Reports</w:t>
      </w:r>
      <w:r>
        <w:rPr>
          <w:sz w:val="20"/>
          <w:szCs w:val="20"/>
        </w:rPr>
        <w:t>.</w:t>
      </w:r>
      <w:r w:rsidRPr="009A0E20">
        <w:rPr>
          <w:sz w:val="20"/>
          <w:szCs w:val="20"/>
        </w:rPr>
        <w:t xml:space="preserve"> </w:t>
      </w:r>
      <w:hyperlink r:id="rId18" w:history="1">
        <w:r w:rsidRPr="00676C2B">
          <w:rPr>
            <w:rStyle w:val="Hyperlink"/>
            <w:sz w:val="20"/>
            <w:szCs w:val="20"/>
          </w:rPr>
          <w:t>http://www.nap.edu.au/results-and-reports/national-reports.html</w:t>
        </w:r>
      </w:hyperlink>
      <w:r w:rsidRPr="009A0E20">
        <w:rPr>
          <w:sz w:val="20"/>
          <w:szCs w:val="20"/>
        </w:rPr>
        <w:t>.</w:t>
      </w:r>
    </w:p>
    <w:p w14:paraId="575C61DF" w14:textId="77777777" w:rsidR="00CF6E21" w:rsidRDefault="00CF6E21" w:rsidP="00BF62D6">
      <w:pPr>
        <w:sectPr w:rsidR="00CF6E21" w:rsidSect="00CF6E21">
          <w:pgSz w:w="15840" w:h="12240" w:orient="landscape"/>
          <w:pgMar w:top="1418" w:right="2160" w:bottom="993" w:left="2160" w:header="720" w:footer="720" w:gutter="0"/>
          <w:cols w:space="360"/>
          <w:docGrid w:linePitch="326"/>
        </w:sectPr>
      </w:pPr>
    </w:p>
    <w:p w14:paraId="3E84CC01" w14:textId="373C435B" w:rsidR="00BF62D6" w:rsidRDefault="00BF62D6" w:rsidP="001D1841">
      <w:pPr>
        <w:pStyle w:val="Heading1"/>
      </w:pPr>
      <w:r>
        <w:lastRenderedPageBreak/>
        <w:t>5</w:t>
      </w:r>
      <w:r w:rsidRPr="00014DFA">
        <w:t xml:space="preserve">. </w:t>
      </w:r>
      <w:r w:rsidRPr="00F9009D">
        <w:rPr>
          <w:szCs w:val="24"/>
        </w:rPr>
        <w:t>Regression analysis</w:t>
      </w:r>
      <w:r w:rsidR="001D1841">
        <w:rPr>
          <w:szCs w:val="24"/>
        </w:rPr>
        <w:t xml:space="preserve"> of NAPLAN participation rates</w:t>
      </w:r>
    </w:p>
    <w:p w14:paraId="6775E536" w14:textId="77777777" w:rsidR="00E334CC" w:rsidRDefault="00BF62D6" w:rsidP="00E334CC">
      <w:pPr>
        <w:spacing w:after="120" w:line="360" w:lineRule="auto"/>
        <w:ind w:firstLine="204"/>
        <w:jc w:val="both"/>
      </w:pPr>
      <w:r>
        <w:t>In this section, w</w:t>
      </w:r>
      <w:r w:rsidRPr="00F9009D">
        <w:t>e apply regression analysis to</w:t>
      </w:r>
      <w:r w:rsidR="008B7F88">
        <w:t xml:space="preserve"> </w:t>
      </w:r>
      <w:r w:rsidR="006102C2">
        <w:t>annual</w:t>
      </w:r>
      <w:r w:rsidRPr="00F9009D">
        <w:t xml:space="preserve"> </w:t>
      </w:r>
      <w:r w:rsidR="009500CB">
        <w:t>state</w:t>
      </w:r>
      <w:r w:rsidR="006102C2">
        <w:t>-</w:t>
      </w:r>
      <w:r w:rsidR="009500CB">
        <w:t>level NAPLAN</w:t>
      </w:r>
      <w:r w:rsidRPr="00F9009D">
        <w:t xml:space="preserve"> </w:t>
      </w:r>
      <w:r w:rsidR="008B7F88">
        <w:t xml:space="preserve">participation </w:t>
      </w:r>
      <w:r w:rsidRPr="00F9009D">
        <w:t>data</w:t>
      </w:r>
      <w:r w:rsidR="009500CB">
        <w:t xml:space="preserve"> for </w:t>
      </w:r>
      <w:r w:rsidR="00697374">
        <w:t xml:space="preserve">Indigenous students in </w:t>
      </w:r>
      <w:r w:rsidR="009500CB">
        <w:t>2008-2012</w:t>
      </w:r>
      <w:r w:rsidR="00A3623E">
        <w:t xml:space="preserve"> presented graphically in Figures </w:t>
      </w:r>
      <w:r w:rsidR="00566F89">
        <w:t>2</w:t>
      </w:r>
      <w:r w:rsidR="00A3623E">
        <w:t xml:space="preserve"> and </w:t>
      </w:r>
      <w:r w:rsidR="00566F89">
        <w:t>3</w:t>
      </w:r>
      <w:r>
        <w:t>. We use</w:t>
      </w:r>
      <w:r w:rsidRPr="00F9009D">
        <w:t xml:space="preserve"> a difference</w:t>
      </w:r>
      <w:r>
        <w:t>-</w:t>
      </w:r>
      <w:r w:rsidRPr="00F9009D">
        <w:t>in</w:t>
      </w:r>
      <w:r>
        <w:t>-</w:t>
      </w:r>
      <w:r w:rsidRPr="00F9009D">
        <w:t xml:space="preserve">difference approach to estimate average annual effects of SEAM on participation rates among Indigenous </w:t>
      </w:r>
      <w:r w:rsidR="00113AA4">
        <w:t>students in</w:t>
      </w:r>
      <w:r w:rsidRPr="00F9009D">
        <w:t xml:space="preserve"> the Northern Territory</w:t>
      </w:r>
      <w:r>
        <w:t>, compar</w:t>
      </w:r>
      <w:r w:rsidR="00A3623E">
        <w:t xml:space="preserve">ing them </w:t>
      </w:r>
      <w:r>
        <w:t>to the</w:t>
      </w:r>
      <w:r w:rsidR="00A3623E">
        <w:t xml:space="preserve"> corresponding</w:t>
      </w:r>
      <w:r>
        <w:t xml:space="preserve"> </w:t>
      </w:r>
      <w:r w:rsidR="006E6F46">
        <w:t xml:space="preserve">changes </w:t>
      </w:r>
      <w:r>
        <w:t xml:space="preserve">among Indigenous </w:t>
      </w:r>
      <w:r w:rsidR="00113AA4">
        <w:t>students</w:t>
      </w:r>
      <w:r>
        <w:t xml:space="preserve"> in other Australian states and territories</w:t>
      </w:r>
      <w:r w:rsidR="0075784B">
        <w:t xml:space="preserve"> over the five years</w:t>
      </w:r>
      <w:r>
        <w:t xml:space="preserve">, pooling all four grade levels and both </w:t>
      </w:r>
      <w:r w:rsidR="0075784B">
        <w:t xml:space="preserve">knowledge </w:t>
      </w:r>
      <w:r>
        <w:t>domains</w:t>
      </w:r>
      <w:r w:rsidR="0075784B">
        <w:t xml:space="preserve"> in one regression</w:t>
      </w:r>
      <w:r w:rsidR="00113AA4">
        <w:t xml:space="preserve">. We assume that the population of Indigenous students in </w:t>
      </w:r>
      <w:r w:rsidRPr="00F9009D">
        <w:t>the Northern Territory</w:t>
      </w:r>
      <w:r>
        <w:t xml:space="preserve"> </w:t>
      </w:r>
      <w:r w:rsidR="00113AA4">
        <w:t xml:space="preserve">was </w:t>
      </w:r>
      <w:r w:rsidR="0075784B">
        <w:t>"</w:t>
      </w:r>
      <w:r w:rsidR="00113AA4">
        <w:t>un</w:t>
      </w:r>
      <w:r w:rsidR="0075784B">
        <w:t>treat</w:t>
      </w:r>
      <w:r w:rsidR="00113AA4">
        <w:t>ed</w:t>
      </w:r>
      <w:r w:rsidR="0075784B">
        <w:t>"</w:t>
      </w:r>
      <w:r w:rsidR="00113AA4">
        <w:t xml:space="preserve"> by SEAM</w:t>
      </w:r>
      <w:r w:rsidRPr="00F9009D">
        <w:t xml:space="preserve"> in 2008, </w:t>
      </w:r>
      <w:r w:rsidR="00113AA4">
        <w:t>the year prior to</w:t>
      </w:r>
      <w:r w:rsidRPr="00F9009D">
        <w:t xml:space="preserve"> implementation</w:t>
      </w:r>
      <w:r w:rsidR="0075784B">
        <w:t>; then fully treated i</w:t>
      </w:r>
      <w:r w:rsidR="00113AA4">
        <w:t>n</w:t>
      </w:r>
      <w:r w:rsidRPr="00F9009D">
        <w:t xml:space="preserve"> 2009</w:t>
      </w:r>
      <w:r w:rsidR="00113AA4">
        <w:t xml:space="preserve">, </w:t>
      </w:r>
      <w:r w:rsidR="0075784B">
        <w:t xml:space="preserve">the first year of implementation, by the credible threat that </w:t>
      </w:r>
      <w:r w:rsidR="006E6F46">
        <w:t xml:space="preserve">Indigenous </w:t>
      </w:r>
      <w:r w:rsidRPr="00F9009D">
        <w:t>parents who did not send their children to school</w:t>
      </w:r>
      <w:r w:rsidR="0075784B">
        <w:t xml:space="preserve"> jeopardized their continued welfare support</w:t>
      </w:r>
      <w:r w:rsidR="00BE5188">
        <w:t>.</w:t>
      </w:r>
      <w:r w:rsidR="0075784B">
        <w:t xml:space="preserve"> </w:t>
      </w:r>
      <w:r w:rsidR="00BE5188">
        <w:t>These families were</w:t>
      </w:r>
      <w:r w:rsidRPr="00F9009D">
        <w:t xml:space="preserve"> partially or ineffectively </w:t>
      </w:r>
      <w:r w:rsidR="0075784B">
        <w:t xml:space="preserve">treated in 2010, 2011 and 2012, </w:t>
      </w:r>
      <w:r w:rsidR="00BE5188">
        <w:t>as</w:t>
      </w:r>
      <w:r w:rsidR="00BE5188" w:rsidRPr="00F9009D">
        <w:t xml:space="preserve"> </w:t>
      </w:r>
      <w:r w:rsidRPr="00F9009D">
        <w:t>the threat lost its credibility.</w:t>
      </w:r>
      <w:r w:rsidR="009500CB">
        <w:t xml:space="preserve"> </w:t>
      </w:r>
      <w:r w:rsidRPr="00F9009D">
        <w:t xml:space="preserve">The Indigenous </w:t>
      </w:r>
      <w:r w:rsidR="00113AA4">
        <w:t>students</w:t>
      </w:r>
      <w:r w:rsidRPr="00F9009D">
        <w:t xml:space="preserve"> </w:t>
      </w:r>
      <w:r w:rsidR="00113AA4">
        <w:t>in</w:t>
      </w:r>
      <w:r w:rsidRPr="00F9009D">
        <w:t xml:space="preserve"> other states and territories are </w:t>
      </w:r>
      <w:r w:rsidR="00113AA4">
        <w:t xml:space="preserve">the comparison </w:t>
      </w:r>
      <w:r w:rsidR="007F79D5">
        <w:t xml:space="preserve">group; </w:t>
      </w:r>
      <w:r>
        <w:t xml:space="preserve">we </w:t>
      </w:r>
      <w:r w:rsidR="00113AA4">
        <w:t>assume this group is un</w:t>
      </w:r>
      <w:r w:rsidR="0075784B">
        <w:t>trea</w:t>
      </w:r>
      <w:r w:rsidR="00113AA4">
        <w:t>ted by SEAM</w:t>
      </w:r>
      <w:r w:rsidRPr="00F9009D">
        <w:t xml:space="preserve"> in all years</w:t>
      </w:r>
      <w:r>
        <w:t>,</w:t>
      </w:r>
      <w:r w:rsidRPr="00F9009D">
        <w:t xml:space="preserve"> grade levels</w:t>
      </w:r>
      <w:r>
        <w:t>,</w:t>
      </w:r>
      <w:r w:rsidRPr="00F9009D">
        <w:t xml:space="preserve"> </w:t>
      </w:r>
      <w:r>
        <w:t>and</w:t>
      </w:r>
      <w:r w:rsidRPr="00F9009D">
        <w:t xml:space="preserve"> knowledge domains</w:t>
      </w:r>
      <w:r>
        <w:t>.</w:t>
      </w:r>
      <w:r w:rsidR="009500CB">
        <w:t xml:space="preserve"> </w:t>
      </w:r>
    </w:p>
    <w:p w14:paraId="0BCDFD2B" w14:textId="77777777" w:rsidR="003F54AD" w:rsidRDefault="0075784B" w:rsidP="003F54AD">
      <w:pPr>
        <w:spacing w:after="120" w:line="360" w:lineRule="auto"/>
        <w:ind w:firstLine="204"/>
        <w:jc w:val="both"/>
      </w:pPr>
      <w:r>
        <w:t>Our assumption of full treatment in 2009 is b</w:t>
      </w:r>
      <w:r w:rsidR="009500CB" w:rsidRPr="00DA1034">
        <w:t xml:space="preserve">ased on the evidence </w:t>
      </w:r>
      <w:r w:rsidR="009500CB">
        <w:t xml:space="preserve">from government reports </w:t>
      </w:r>
      <w:r w:rsidR="009500CB" w:rsidRPr="00DA1034">
        <w:t xml:space="preserve">presented in Section 3, </w:t>
      </w:r>
      <w:r>
        <w:t>indicating that</w:t>
      </w:r>
      <w:r w:rsidR="009500CB" w:rsidRPr="00DA1034">
        <w:t xml:space="preserve"> </w:t>
      </w:r>
      <w:r w:rsidRPr="00DA1034">
        <w:t xml:space="preserve">extensive misinformation </w:t>
      </w:r>
      <w:r w:rsidR="00BE5188">
        <w:t xml:space="preserve">generally </w:t>
      </w:r>
      <w:r>
        <w:t xml:space="preserve">led </w:t>
      </w:r>
      <w:r w:rsidR="009500CB" w:rsidRPr="00DA1034">
        <w:t xml:space="preserve">the Indigenous </w:t>
      </w:r>
      <w:r w:rsidR="008A7152">
        <w:t xml:space="preserve">population </w:t>
      </w:r>
      <w:r>
        <w:t>of</w:t>
      </w:r>
      <w:r w:rsidR="009500CB" w:rsidRPr="00DA1034">
        <w:t xml:space="preserve"> the Northern Te</w:t>
      </w:r>
      <w:r w:rsidR="009500CB">
        <w:t xml:space="preserve">rritory </w:t>
      </w:r>
      <w:r>
        <w:t>to feel</w:t>
      </w:r>
      <w:r w:rsidR="009500CB">
        <w:t xml:space="preserve"> threatened by SEAM</w:t>
      </w:r>
      <w:r>
        <w:t>, though it</w:t>
      </w:r>
      <w:r w:rsidR="009500CB" w:rsidRPr="00DA1034">
        <w:t xml:space="preserve"> was formally directed at only a small fraction</w:t>
      </w:r>
      <w:r w:rsidR="003F54AD">
        <w:t xml:space="preserve"> of schools</w:t>
      </w:r>
      <w:r w:rsidR="00FC3EE8">
        <w:t>; and by the attendance data for SEAM and non-SEAM schools presented in Figure 1</w:t>
      </w:r>
      <w:r>
        <w:t xml:space="preserve">. </w:t>
      </w:r>
      <w:r w:rsidR="006102C2">
        <w:t xml:space="preserve">In the context of our analysis, this is a conservative assumption.  </w:t>
      </w:r>
      <w:r w:rsidR="009500CB" w:rsidRPr="00DA1034">
        <w:t xml:space="preserve">If </w:t>
      </w:r>
      <w:r w:rsidR="006102C2">
        <w:t>it</w:t>
      </w:r>
      <w:r w:rsidR="009500CB" w:rsidRPr="00DA1034">
        <w:t xml:space="preserve"> is an overstatement—i.e., if not all child-</w:t>
      </w:r>
      <w:proofErr w:type="spellStart"/>
      <w:r w:rsidR="009500CB" w:rsidRPr="00DA1034">
        <w:t>carers</w:t>
      </w:r>
      <w:proofErr w:type="spellEnd"/>
      <w:r w:rsidR="009500CB" w:rsidRPr="00DA1034">
        <w:t xml:space="preserve"> believed that their welfare payments would be reduced if they did not send the children in their care to school—then our estimated effects are biased downward</w:t>
      </w:r>
      <w:r w:rsidR="006102C2">
        <w:t xml:space="preserve"> and</w:t>
      </w:r>
      <w:r w:rsidR="009500CB">
        <w:t xml:space="preserve"> the </w:t>
      </w:r>
      <w:r w:rsidR="006102C2">
        <w:t>actual initial</w:t>
      </w:r>
      <w:r w:rsidR="009500CB">
        <w:t xml:space="preserve"> effect of SEAM </w:t>
      </w:r>
      <w:r w:rsidR="006102C2">
        <w:t xml:space="preserve">on participation was </w:t>
      </w:r>
      <w:r w:rsidR="009500CB">
        <w:t xml:space="preserve">stronger than </w:t>
      </w:r>
      <w:r w:rsidR="006102C2">
        <w:t>our</w:t>
      </w:r>
      <w:r w:rsidR="009500CB">
        <w:t xml:space="preserve"> estimate</w:t>
      </w:r>
      <w:r w:rsidR="006102C2">
        <w:t>s indicate.</w:t>
      </w:r>
      <w:r w:rsidR="00BF62D6">
        <w:t xml:space="preserve"> </w:t>
      </w:r>
    </w:p>
    <w:p w14:paraId="33D2CFDD" w14:textId="02B89733" w:rsidR="00BF62D6" w:rsidRDefault="00BF62D6" w:rsidP="003F54AD">
      <w:pPr>
        <w:spacing w:after="120" w:line="360" w:lineRule="auto"/>
        <w:ind w:firstLine="204"/>
        <w:jc w:val="both"/>
      </w:pPr>
      <w:r>
        <w:lastRenderedPageBreak/>
        <w:t xml:space="preserve">Our basic </w:t>
      </w:r>
      <w:r w:rsidR="00BE5188">
        <w:t>regression</w:t>
      </w:r>
      <w:r w:rsidRPr="00273EBE">
        <w:t xml:space="preserve"> </w:t>
      </w:r>
      <w:r>
        <w:t>specification is:</w:t>
      </w:r>
    </w:p>
    <w:p w14:paraId="397D16D2" w14:textId="3800FB7F" w:rsidR="00BF62D6" w:rsidRPr="00F9009D" w:rsidRDefault="003143AA">
      <w:pPr>
        <w:pStyle w:val="equation0"/>
        <w:tabs>
          <w:tab w:val="center" w:pos="1701"/>
        </w:tabs>
        <w:spacing w:line="360" w:lineRule="auto"/>
        <w:contextualSpacing/>
        <w:jc w:val="center"/>
        <w:rPr>
          <w:i/>
          <w:iCs/>
        </w:rPr>
      </w:pPr>
      <w:r>
        <w:rPr>
          <w:i/>
          <w:iCs/>
          <w:noProof/>
          <w:position w:val="-18"/>
          <w:lang w:eastAsia="en-US" w:bidi="he-IL"/>
        </w:rPr>
        <w:drawing>
          <wp:inline distT="0" distB="0" distL="0" distR="0" wp14:anchorId="7A6CF633" wp14:editId="20A36907">
            <wp:extent cx="4419600" cy="3143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9600" cy="314325"/>
                    </a:xfrm>
                    <a:prstGeom prst="rect">
                      <a:avLst/>
                    </a:prstGeom>
                    <a:noFill/>
                    <a:ln>
                      <a:noFill/>
                    </a:ln>
                  </pic:spPr>
                </pic:pic>
              </a:graphicData>
            </a:graphic>
          </wp:inline>
        </w:drawing>
      </w:r>
    </w:p>
    <w:p w14:paraId="5BE2CDC6" w14:textId="77777777" w:rsidR="003F54AD" w:rsidRDefault="00BF62D6" w:rsidP="003F54AD">
      <w:pPr>
        <w:spacing w:before="240" w:after="120" w:line="360" w:lineRule="auto"/>
        <w:jc w:val="both"/>
      </w:pPr>
      <w:proofErr w:type="gramStart"/>
      <w:r>
        <w:t>where</w:t>
      </w:r>
      <w:proofErr w:type="gramEnd"/>
      <w:r>
        <w:t xml:space="preserve"> </w:t>
      </w:r>
      <w:r>
        <w:tab/>
      </w:r>
      <w:proofErr w:type="spellStart"/>
      <w:r>
        <w:rPr>
          <w:i/>
          <w:iCs/>
        </w:rPr>
        <w:t>Y</w:t>
      </w:r>
      <w:r>
        <w:rPr>
          <w:i/>
          <w:iCs/>
          <w:vertAlign w:val="subscript"/>
        </w:rPr>
        <w:t>idgt</w:t>
      </w:r>
      <w:proofErr w:type="spellEnd"/>
      <w:r>
        <w:t xml:space="preserve"> is the </w:t>
      </w:r>
      <w:r>
        <w:rPr>
          <w:lang w:bidi="he-IL"/>
        </w:rPr>
        <w:t xml:space="preserve">participation rate for the Indigenous population in state/territory </w:t>
      </w:r>
      <w:proofErr w:type="spellStart"/>
      <w:r>
        <w:rPr>
          <w:i/>
          <w:iCs/>
          <w:lang w:bidi="he-IL"/>
        </w:rPr>
        <w:t>i</w:t>
      </w:r>
      <w:proofErr w:type="spellEnd"/>
      <w:r>
        <w:t xml:space="preserve">, in knowledge domain </w:t>
      </w:r>
      <w:r>
        <w:rPr>
          <w:i/>
          <w:iCs/>
        </w:rPr>
        <w:t>d</w:t>
      </w:r>
      <w:r>
        <w:t xml:space="preserve"> (numeracy or reading) and grade </w:t>
      </w:r>
      <w:r>
        <w:rPr>
          <w:i/>
          <w:iCs/>
        </w:rPr>
        <w:t xml:space="preserve">g </w:t>
      </w:r>
      <w:r>
        <w:t>(3, 5, 7 or 9),</w:t>
      </w:r>
      <w:r w:rsidRPr="00362634">
        <w:t xml:space="preserve"> </w:t>
      </w:r>
      <w:r>
        <w:t xml:space="preserve">in year </w:t>
      </w:r>
      <w:proofErr w:type="spellStart"/>
      <w:r>
        <w:rPr>
          <w:i/>
          <w:iCs/>
        </w:rPr>
        <w:t>t</w:t>
      </w:r>
      <w:proofErr w:type="spellEnd"/>
      <w:r>
        <w:t xml:space="preserve"> (2008, …, 2012). Here, </w:t>
      </w:r>
      <w:proofErr w:type="spellStart"/>
      <w:r w:rsidRPr="0057632C">
        <w:rPr>
          <w:i/>
          <w:iCs/>
        </w:rPr>
        <w:t>I</w:t>
      </w:r>
      <w:r w:rsidRPr="0057632C">
        <w:rPr>
          <w:i/>
          <w:iCs/>
          <w:vertAlign w:val="subscript"/>
        </w:rPr>
        <w:t>r</w:t>
      </w:r>
      <w:proofErr w:type="spellEnd"/>
      <w:r>
        <w:t xml:space="preserve"> is an indicator for the reading domain (numeracy is </w:t>
      </w:r>
      <w:r w:rsidR="009500CB">
        <w:t xml:space="preserve">the </w:t>
      </w:r>
      <w:r>
        <w:t>omitted</w:t>
      </w:r>
      <w:r w:rsidR="009500CB">
        <w:t xml:space="preserve"> category</w:t>
      </w:r>
      <w:r>
        <w:t xml:space="preserve">) and </w:t>
      </w:r>
      <w:r w:rsidRPr="0057632C">
        <w:rPr>
          <w:rFonts w:ascii="Symbol" w:hAnsi="Symbol"/>
          <w:i/>
          <w:iCs/>
        </w:rPr>
        <w:t></w:t>
      </w:r>
      <w:r>
        <w:rPr>
          <w:i/>
          <w:iCs/>
          <w:vertAlign w:val="subscript"/>
        </w:rPr>
        <w:t>r</w:t>
      </w:r>
      <w:r>
        <w:t xml:space="preserve"> is a fixed effect for reading. </w:t>
      </w:r>
      <w:r w:rsidRPr="0057632C">
        <w:rPr>
          <w:i/>
          <w:iCs/>
        </w:rPr>
        <w:t>I</w:t>
      </w:r>
      <w:r w:rsidRPr="0057632C">
        <w:rPr>
          <w:i/>
          <w:iCs/>
          <w:vertAlign w:val="subscript"/>
        </w:rPr>
        <w:t>g</w:t>
      </w:r>
      <w:r>
        <w:t xml:space="preserve"> is an indicator for grade level (grade </w:t>
      </w:r>
      <w:r w:rsidR="002F1B26">
        <w:t>9</w:t>
      </w:r>
      <w:r>
        <w:t xml:space="preserve"> is </w:t>
      </w:r>
      <w:r w:rsidR="009500CB">
        <w:t xml:space="preserve">the </w:t>
      </w:r>
      <w:r>
        <w:t>omitted</w:t>
      </w:r>
      <w:r w:rsidR="009500CB">
        <w:t xml:space="preserve"> category</w:t>
      </w:r>
      <w:r>
        <w:t xml:space="preserve">) and </w:t>
      </w:r>
      <w:r w:rsidRPr="0057632C">
        <w:rPr>
          <w:rFonts w:ascii="Symbol" w:hAnsi="Symbol"/>
          <w:i/>
          <w:iCs/>
        </w:rPr>
        <w:t></w:t>
      </w:r>
      <w:r>
        <w:rPr>
          <w:i/>
          <w:iCs/>
          <w:vertAlign w:val="subscript"/>
        </w:rPr>
        <w:t>g</w:t>
      </w:r>
      <w:r>
        <w:t xml:space="preserve"> are grade level effects for </w:t>
      </w:r>
      <w:r w:rsidRPr="0023568D">
        <w:rPr>
          <w:i/>
          <w:iCs/>
        </w:rPr>
        <w:t>g</w:t>
      </w:r>
      <w:r w:rsidR="008A7152">
        <w:t xml:space="preserve"> = </w:t>
      </w:r>
      <w:r w:rsidR="002F1B26">
        <w:t>3</w:t>
      </w:r>
      <w:r>
        <w:t xml:space="preserve">, </w:t>
      </w:r>
      <w:r w:rsidR="002F1B26">
        <w:t>5</w:t>
      </w:r>
      <w:r>
        <w:t>,</w:t>
      </w:r>
      <w:r w:rsidR="008B7F88">
        <w:t xml:space="preserve"> </w:t>
      </w:r>
      <w:r w:rsidR="002F1B26">
        <w:t>7</w:t>
      </w:r>
      <w:r>
        <w:t xml:space="preserve">. </w:t>
      </w:r>
      <w:r w:rsidRPr="0057632C">
        <w:rPr>
          <w:i/>
          <w:iCs/>
        </w:rPr>
        <w:t>I</w:t>
      </w:r>
      <w:r>
        <w:rPr>
          <w:i/>
          <w:iCs/>
          <w:vertAlign w:val="subscript"/>
        </w:rPr>
        <w:t>t</w:t>
      </w:r>
      <w:r>
        <w:t xml:space="preserve"> is an indicator for year </w:t>
      </w:r>
      <w:proofErr w:type="spellStart"/>
      <w:r>
        <w:rPr>
          <w:i/>
          <w:iCs/>
        </w:rPr>
        <w:t>t</w:t>
      </w:r>
      <w:proofErr w:type="spellEnd"/>
      <w:r>
        <w:rPr>
          <w:i/>
          <w:iCs/>
        </w:rPr>
        <w:t xml:space="preserve"> </w:t>
      </w:r>
      <w:r>
        <w:t xml:space="preserve">(2008 is </w:t>
      </w:r>
      <w:r w:rsidR="009500CB">
        <w:t xml:space="preserve">the </w:t>
      </w:r>
      <w:r>
        <w:t>omitted</w:t>
      </w:r>
      <w:r w:rsidR="009500CB">
        <w:t xml:space="preserve"> category</w:t>
      </w:r>
      <w:r>
        <w:t xml:space="preserve">) and </w:t>
      </w:r>
      <w:r w:rsidRPr="0057632C">
        <w:rPr>
          <w:rFonts w:ascii="Symbol" w:hAnsi="Symbol"/>
          <w:i/>
          <w:iCs/>
        </w:rPr>
        <w:t></w:t>
      </w:r>
      <w:r w:rsidRPr="0057632C">
        <w:rPr>
          <w:i/>
          <w:iCs/>
          <w:vertAlign w:val="subscript"/>
        </w:rPr>
        <w:t>t</w:t>
      </w:r>
      <w:r>
        <w:rPr>
          <w:vertAlign w:val="subscript"/>
        </w:rPr>
        <w:t xml:space="preserve"> </w:t>
      </w:r>
      <w:r>
        <w:t xml:space="preserve">are year effects for years </w:t>
      </w:r>
      <w:r w:rsidRPr="0023568D">
        <w:rPr>
          <w:i/>
          <w:iCs/>
        </w:rPr>
        <w:t>t</w:t>
      </w:r>
      <w:r>
        <w:t xml:space="preserve"> = 2009, 2010, 2011, 2012. </w:t>
      </w:r>
      <w:r w:rsidRPr="0057632C">
        <w:rPr>
          <w:i/>
          <w:iCs/>
        </w:rPr>
        <w:t>I</w:t>
      </w:r>
      <w:r w:rsidRPr="0057632C">
        <w:rPr>
          <w:i/>
          <w:iCs/>
          <w:vertAlign w:val="subscript"/>
        </w:rPr>
        <w:t>NT</w:t>
      </w:r>
      <w:r>
        <w:t xml:space="preserve"> is an indicator for the Northern Territory and </w:t>
      </w:r>
      <w:r w:rsidRPr="0057632C">
        <w:rPr>
          <w:rFonts w:ascii="Symbol" w:hAnsi="Symbol"/>
          <w:i/>
          <w:iCs/>
        </w:rPr>
        <w:t></w:t>
      </w:r>
      <w:r>
        <w:t xml:space="preserve"> is the Northern Territory fixed effect. The coefficients </w:t>
      </w:r>
      <w:r w:rsidRPr="0057632C">
        <w:rPr>
          <w:rFonts w:ascii="Symbol" w:hAnsi="Symbol"/>
          <w:i/>
          <w:iCs/>
        </w:rPr>
        <w:t></w:t>
      </w:r>
      <w:r>
        <w:rPr>
          <w:i/>
          <w:iCs/>
          <w:vertAlign w:val="subscript"/>
        </w:rPr>
        <w:t>t</w:t>
      </w:r>
      <w:r>
        <w:t xml:space="preserve"> are the difference-in-difference effects for years </w:t>
      </w:r>
      <w:r w:rsidRPr="0023568D">
        <w:rPr>
          <w:i/>
          <w:iCs/>
        </w:rPr>
        <w:t>t</w:t>
      </w:r>
      <w:r>
        <w:t xml:space="preserve"> = 2009, 2010, 2011 and 2012. The last term, </w:t>
      </w:r>
      <w:proofErr w:type="spellStart"/>
      <w:r>
        <w:rPr>
          <w:i/>
          <w:iCs/>
        </w:rPr>
        <w:t>v</w:t>
      </w:r>
      <w:r>
        <w:rPr>
          <w:i/>
          <w:iCs/>
          <w:vertAlign w:val="subscript"/>
        </w:rPr>
        <w:t>idgt</w:t>
      </w:r>
      <w:proofErr w:type="spellEnd"/>
      <w:r w:rsidRPr="0023568D">
        <w:t>,</w:t>
      </w:r>
      <w:r>
        <w:t xml:space="preserve"> is an error term</w:t>
      </w:r>
      <w:r w:rsidR="00F50D57">
        <w:t>, which we assume to be independent across states, but possibly correlated across grade levels and domains within a state</w:t>
      </w:r>
      <w:r>
        <w:t xml:space="preserve">. </w:t>
      </w:r>
    </w:p>
    <w:p w14:paraId="7247F0A0" w14:textId="6523F822" w:rsidR="007C67F9" w:rsidRDefault="00BF62D6" w:rsidP="003F54AD">
      <w:pPr>
        <w:spacing w:before="240" w:after="120" w:line="360" w:lineRule="auto"/>
        <w:ind w:firstLine="360"/>
        <w:jc w:val="both"/>
      </w:pPr>
      <w:r>
        <w:t xml:space="preserve">Our interest </w:t>
      </w:r>
      <w:r w:rsidR="006102C2">
        <w:t>focuse</w:t>
      </w:r>
      <w:r w:rsidR="009500CB">
        <w:t xml:space="preserve">s </w:t>
      </w:r>
      <w:r>
        <w:t xml:space="preserve">on </w:t>
      </w:r>
      <w:r w:rsidRPr="00563E43">
        <w:rPr>
          <w:rFonts w:ascii="Symbol" w:hAnsi="Symbol"/>
          <w:i/>
          <w:iCs/>
        </w:rPr>
        <w:t></w:t>
      </w:r>
      <w:r>
        <w:rPr>
          <w:i/>
          <w:iCs/>
          <w:vertAlign w:val="subscript"/>
        </w:rPr>
        <w:t xml:space="preserve">t </w:t>
      </w:r>
      <w:r w:rsidRPr="00563E43">
        <w:t>as it varies over time</w:t>
      </w:r>
      <w:r w:rsidR="006102C2">
        <w:t>. It estimates</w:t>
      </w:r>
      <w:r w:rsidR="006102C2" w:rsidRPr="00563E43">
        <w:t xml:space="preserve"> </w:t>
      </w:r>
      <w:r>
        <w:t>the d</w:t>
      </w:r>
      <w:r w:rsidR="007F79D5">
        <w:t>ifference in the difference in participation</w:t>
      </w:r>
      <w:r>
        <w:t xml:space="preserve"> </w:t>
      </w:r>
      <w:r w:rsidR="00F73663">
        <w:t xml:space="preserve">rates </w:t>
      </w:r>
      <w:r>
        <w:t xml:space="preserve">between the base year and year </w:t>
      </w:r>
      <w:r>
        <w:rPr>
          <w:i/>
          <w:iCs/>
        </w:rPr>
        <w:t>t</w:t>
      </w:r>
      <w:r>
        <w:t xml:space="preserve"> between the Northern Territory Indigenous population and the Indigenous populations in other states and territories, averaged over all grade levels and knowledge domains. </w:t>
      </w:r>
      <w:r w:rsidR="008A7152">
        <w:t xml:space="preserve">We expect a large, statistically </w:t>
      </w:r>
      <w:r w:rsidRPr="00F9009D">
        <w:t>significant</w:t>
      </w:r>
      <w:r w:rsidR="008A7152">
        <w:t>,</w:t>
      </w:r>
      <w:r w:rsidRPr="00F9009D">
        <w:t xml:space="preserve"> positive value </w:t>
      </w:r>
      <w:proofErr w:type="gramStart"/>
      <w:r w:rsidR="000A1337">
        <w:t>for</w:t>
      </w:r>
      <w:r w:rsidR="009500CB">
        <w:t xml:space="preserve"> </w:t>
      </w:r>
      <w:proofErr w:type="gramEnd"/>
      <m:oMath>
        <m:sSub>
          <m:sSubPr>
            <m:ctrlPr>
              <w:rPr>
                <w:rFonts w:ascii="Cambria Math" w:hAnsi="Cambria Math"/>
                <w:i/>
              </w:rPr>
            </m:ctrlPr>
          </m:sSubPr>
          <m:e>
            <m:r>
              <w:rPr>
                <w:rFonts w:ascii="Cambria Math" w:hAnsi="Cambria Math"/>
              </w:rPr>
              <m:t>K</m:t>
            </m:r>
          </m:e>
          <m:sub>
            <m:r>
              <w:rPr>
                <w:rFonts w:ascii="Cambria Math" w:hAnsi="Cambria Math"/>
              </w:rPr>
              <m:t>t=2009</m:t>
            </m:r>
          </m:sub>
        </m:sSub>
      </m:oMath>
      <w:r>
        <w:t xml:space="preserve">, </w:t>
      </w:r>
      <w:r w:rsidR="008A7152">
        <w:t>the coefficient associated with the interaction between the year 2009 and NT indicators</w:t>
      </w:r>
      <w:r w:rsidR="00F73663">
        <w:t>,</w:t>
      </w:r>
      <w:r w:rsidR="00F73663" w:rsidRPr="00F9009D">
        <w:t xml:space="preserve"> </w:t>
      </w:r>
      <w:r w:rsidRPr="00F9009D">
        <w:t xml:space="preserve">and </w:t>
      </w:r>
      <w:r>
        <w:t xml:space="preserve">smaller effects for </w:t>
      </w:r>
      <w:r w:rsidRPr="00F9009D">
        <w:t>subsequent</w:t>
      </w:r>
      <w:r w:rsidR="008A7152">
        <w:t xml:space="preserve"> years,</w:t>
      </w:r>
      <w:r w:rsidRPr="00F9009D">
        <w:t xml:space="preserve"> </w:t>
      </w:r>
      <m:oMath>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 xml:space="preserve"> </m:t>
        </m:r>
      </m:oMath>
      <w:r w:rsidR="008A7152">
        <w:t xml:space="preserve">for </w:t>
      </w:r>
      <m:oMath>
        <m:r>
          <w:rPr>
            <w:rFonts w:ascii="Cambria Math" w:hAnsi="Cambria Math"/>
          </w:rPr>
          <m:t>t∈{2010, 2011, 2012}</m:t>
        </m:r>
      </m:oMath>
      <w:r w:rsidR="008A7152">
        <w:t xml:space="preserve">, </w:t>
      </w:r>
      <w:r w:rsidR="009C088E">
        <w:t xml:space="preserve">as </w:t>
      </w:r>
      <w:r w:rsidRPr="00F9009D">
        <w:t xml:space="preserve">the threat </w:t>
      </w:r>
      <w:r w:rsidR="009C088E">
        <w:t>bec</w:t>
      </w:r>
      <w:r w:rsidR="00BE5188">
        <w:t>a</w:t>
      </w:r>
      <w:r w:rsidR="00E8318E">
        <w:t>me</w:t>
      </w:r>
      <w:r w:rsidR="009C088E">
        <w:t xml:space="preserve"> less credible</w:t>
      </w:r>
      <w:r w:rsidRPr="00F9009D">
        <w:t xml:space="preserve">. </w:t>
      </w:r>
    </w:p>
    <w:p w14:paraId="34086378" w14:textId="77777777" w:rsidR="005E6070" w:rsidRDefault="005E6070">
      <w:pPr>
        <w:rPr>
          <w:rFonts w:cs="TimesLTStd-Roman"/>
          <w:smallCaps/>
          <w:color w:val="000000"/>
          <w:spacing w:val="-1"/>
          <w:w w:val="97"/>
        </w:rPr>
      </w:pPr>
      <w:r>
        <w:br w:type="page"/>
      </w:r>
    </w:p>
    <w:p w14:paraId="2F7B246D" w14:textId="1F023DC5" w:rsidR="00CF6E21" w:rsidRPr="00215C36" w:rsidRDefault="00CF6E21" w:rsidP="00E8318E">
      <w:pPr>
        <w:pStyle w:val="TableTitle"/>
        <w:spacing w:before="360" w:after="0"/>
      </w:pPr>
      <w:r w:rsidRPr="00215C36">
        <w:lastRenderedPageBreak/>
        <w:t xml:space="preserve">Table 5— </w:t>
      </w:r>
      <w:r>
        <w:t xml:space="preserve">Regression </w:t>
      </w:r>
      <w:r w:rsidR="00E8318E">
        <w:t>of</w:t>
      </w:r>
      <w:r>
        <w:t xml:space="preserve"> </w:t>
      </w:r>
      <w:r w:rsidRPr="00215C36">
        <w:t xml:space="preserve">Indigenous </w:t>
      </w:r>
      <w:r>
        <w:t>participation rates</w:t>
      </w:r>
    </w:p>
    <w:tbl>
      <w:tblPr>
        <w:tblW w:w="6766" w:type="dxa"/>
        <w:jc w:val="center"/>
        <w:tblLayout w:type="fixed"/>
        <w:tblLook w:val="04A0" w:firstRow="1" w:lastRow="0" w:firstColumn="1" w:lastColumn="0" w:noHBand="0" w:noVBand="1"/>
      </w:tblPr>
      <w:tblGrid>
        <w:gridCol w:w="2447"/>
        <w:gridCol w:w="1439"/>
        <w:gridCol w:w="1747"/>
        <w:gridCol w:w="1133"/>
      </w:tblGrid>
      <w:tr w:rsidR="00CF6E21" w:rsidRPr="001633FD" w14:paraId="254DE5A0" w14:textId="77777777" w:rsidTr="00CF6E21">
        <w:trPr>
          <w:trHeight w:val="96"/>
          <w:jc w:val="center"/>
        </w:trPr>
        <w:tc>
          <w:tcPr>
            <w:tcW w:w="2447" w:type="dxa"/>
            <w:tcBorders>
              <w:bottom w:val="single" w:sz="4" w:space="0" w:color="auto"/>
              <w:right w:val="single" w:sz="4" w:space="0" w:color="auto"/>
            </w:tcBorders>
          </w:tcPr>
          <w:p w14:paraId="223126E4" w14:textId="77777777" w:rsidR="00CF6E21" w:rsidRPr="009A0E20" w:rsidRDefault="00CF6E21" w:rsidP="00CF6E21">
            <w:pPr>
              <w:pStyle w:val="TableText"/>
              <w:jc w:val="left"/>
              <w:rPr>
                <w:iCs/>
                <w:sz w:val="20"/>
                <w:szCs w:val="20"/>
              </w:rPr>
            </w:pPr>
          </w:p>
        </w:tc>
        <w:tc>
          <w:tcPr>
            <w:tcW w:w="1439" w:type="dxa"/>
            <w:tcBorders>
              <w:left w:val="single" w:sz="4" w:space="0" w:color="auto"/>
              <w:bottom w:val="single" w:sz="4" w:space="0" w:color="auto"/>
            </w:tcBorders>
            <w:vAlign w:val="center"/>
          </w:tcPr>
          <w:p w14:paraId="52ADC2A2" w14:textId="77777777" w:rsidR="00CF6E21" w:rsidRPr="009A0E20" w:rsidRDefault="00CF6E21" w:rsidP="00CF6E21">
            <w:pPr>
              <w:pStyle w:val="TableText"/>
              <w:rPr>
                <w:sz w:val="20"/>
                <w:szCs w:val="20"/>
              </w:rPr>
            </w:pPr>
            <w:r>
              <w:rPr>
                <w:sz w:val="20"/>
                <w:szCs w:val="20"/>
              </w:rPr>
              <w:t>Coefficient</w:t>
            </w:r>
          </w:p>
        </w:tc>
        <w:tc>
          <w:tcPr>
            <w:tcW w:w="1747" w:type="dxa"/>
            <w:tcBorders>
              <w:bottom w:val="single" w:sz="4" w:space="0" w:color="auto"/>
            </w:tcBorders>
            <w:vAlign w:val="center"/>
          </w:tcPr>
          <w:p w14:paraId="6F109777" w14:textId="0B6FE62F" w:rsidR="00CF6E21" w:rsidRPr="009A0E20" w:rsidRDefault="00CF6E21" w:rsidP="00AF23AE">
            <w:pPr>
              <w:pStyle w:val="TableText"/>
              <w:rPr>
                <w:sz w:val="20"/>
                <w:szCs w:val="20"/>
              </w:rPr>
            </w:pPr>
            <w:r>
              <w:rPr>
                <w:sz w:val="20"/>
                <w:szCs w:val="20"/>
              </w:rPr>
              <w:t xml:space="preserve">95% </w:t>
            </w:r>
            <w:proofErr w:type="spellStart"/>
            <w:r>
              <w:rPr>
                <w:sz w:val="20"/>
                <w:szCs w:val="20"/>
              </w:rPr>
              <w:t>Conf</w:t>
            </w:r>
            <w:proofErr w:type="spellEnd"/>
            <w:r>
              <w:rPr>
                <w:sz w:val="20"/>
                <w:szCs w:val="20"/>
              </w:rPr>
              <w:t xml:space="preserve"> Interval</w:t>
            </w:r>
          </w:p>
        </w:tc>
        <w:tc>
          <w:tcPr>
            <w:tcW w:w="1133" w:type="dxa"/>
            <w:tcBorders>
              <w:bottom w:val="single" w:sz="4" w:space="0" w:color="auto"/>
              <w:right w:val="single" w:sz="4" w:space="0" w:color="auto"/>
            </w:tcBorders>
            <w:vAlign w:val="center"/>
          </w:tcPr>
          <w:p w14:paraId="6A8FAF88" w14:textId="77777777" w:rsidR="00CF6E21" w:rsidRPr="00365102" w:rsidRDefault="00CF6E21" w:rsidP="00CF6E21">
            <w:pPr>
              <w:pStyle w:val="TableText"/>
              <w:rPr>
                <w:i/>
                <w:iCs/>
                <w:sz w:val="20"/>
                <w:szCs w:val="20"/>
              </w:rPr>
            </w:pPr>
            <w:r>
              <w:rPr>
                <w:i/>
                <w:iCs/>
                <w:sz w:val="20"/>
                <w:szCs w:val="20"/>
              </w:rPr>
              <w:t>p-</w:t>
            </w:r>
            <w:r w:rsidRPr="00365102">
              <w:rPr>
                <w:sz w:val="20"/>
                <w:szCs w:val="20"/>
              </w:rPr>
              <w:t>value</w:t>
            </w:r>
          </w:p>
        </w:tc>
      </w:tr>
      <w:tr w:rsidR="00CF6E21" w:rsidRPr="001633FD" w14:paraId="744DB423" w14:textId="77777777" w:rsidTr="00CF6E21">
        <w:trPr>
          <w:trHeight w:val="271"/>
          <w:jc w:val="center"/>
        </w:trPr>
        <w:tc>
          <w:tcPr>
            <w:tcW w:w="2447" w:type="dxa"/>
            <w:tcBorders>
              <w:top w:val="single" w:sz="4" w:space="0" w:color="auto"/>
              <w:right w:val="single" w:sz="4" w:space="0" w:color="auto"/>
            </w:tcBorders>
            <w:vAlign w:val="center"/>
          </w:tcPr>
          <w:p w14:paraId="386EF036" w14:textId="77777777" w:rsidR="00CF6E21" w:rsidRPr="009A0E20" w:rsidRDefault="00CF6E21" w:rsidP="00CF6E21">
            <w:pPr>
              <w:spacing w:line="276" w:lineRule="auto"/>
              <w:ind w:right="113"/>
              <w:rPr>
                <w:sz w:val="20"/>
                <w:szCs w:val="20"/>
              </w:rPr>
            </w:pPr>
            <w:r w:rsidRPr="009A0E20">
              <w:rPr>
                <w:sz w:val="20"/>
                <w:szCs w:val="20"/>
              </w:rPr>
              <w:t>Intercept</w:t>
            </w:r>
          </w:p>
        </w:tc>
        <w:tc>
          <w:tcPr>
            <w:tcW w:w="1439" w:type="dxa"/>
            <w:tcBorders>
              <w:top w:val="single" w:sz="4" w:space="0" w:color="auto"/>
              <w:left w:val="single" w:sz="4" w:space="0" w:color="auto"/>
            </w:tcBorders>
            <w:vAlign w:val="center"/>
          </w:tcPr>
          <w:p w14:paraId="13020D3B" w14:textId="77777777" w:rsidR="00CF6E21" w:rsidRPr="00755DB6" w:rsidRDefault="00CF6E21" w:rsidP="00CF6E21">
            <w:pPr>
              <w:ind w:right="284"/>
              <w:jc w:val="right"/>
              <w:rPr>
                <w:bCs/>
                <w:sz w:val="20"/>
                <w:szCs w:val="20"/>
              </w:rPr>
            </w:pPr>
            <w:r w:rsidRPr="00755DB6">
              <w:rPr>
                <w:bCs/>
                <w:sz w:val="20"/>
                <w:szCs w:val="20"/>
              </w:rPr>
              <w:t>0.</w:t>
            </w:r>
            <w:r>
              <w:rPr>
                <w:bCs/>
                <w:sz w:val="20"/>
                <w:szCs w:val="20"/>
              </w:rPr>
              <w:t>803</w:t>
            </w:r>
          </w:p>
        </w:tc>
        <w:tc>
          <w:tcPr>
            <w:tcW w:w="1747" w:type="dxa"/>
            <w:tcBorders>
              <w:top w:val="single" w:sz="4" w:space="0" w:color="auto"/>
            </w:tcBorders>
            <w:vAlign w:val="center"/>
          </w:tcPr>
          <w:p w14:paraId="50C23A18" w14:textId="77777777" w:rsidR="00CF6E21" w:rsidRPr="009A0E20" w:rsidRDefault="00CF6E21" w:rsidP="00CF6E21">
            <w:pPr>
              <w:ind w:right="284"/>
              <w:jc w:val="right"/>
              <w:rPr>
                <w:sz w:val="20"/>
                <w:szCs w:val="20"/>
              </w:rPr>
            </w:pPr>
            <w:r>
              <w:rPr>
                <w:sz w:val="20"/>
                <w:szCs w:val="20"/>
              </w:rPr>
              <w:t>[0.745,0.861]</w:t>
            </w:r>
          </w:p>
        </w:tc>
        <w:tc>
          <w:tcPr>
            <w:tcW w:w="1133" w:type="dxa"/>
            <w:tcBorders>
              <w:top w:val="single" w:sz="4" w:space="0" w:color="auto"/>
              <w:right w:val="single" w:sz="4" w:space="0" w:color="auto"/>
            </w:tcBorders>
          </w:tcPr>
          <w:p w14:paraId="463B8442" w14:textId="77777777" w:rsidR="00CF6E21" w:rsidRPr="009A0E20" w:rsidRDefault="00CF6E21" w:rsidP="00CF6E21">
            <w:pPr>
              <w:ind w:right="284"/>
              <w:jc w:val="right"/>
              <w:rPr>
                <w:sz w:val="20"/>
                <w:szCs w:val="20"/>
              </w:rPr>
            </w:pPr>
            <w:r>
              <w:rPr>
                <w:sz w:val="20"/>
                <w:szCs w:val="20"/>
              </w:rPr>
              <w:t>&lt; 0.001</w:t>
            </w:r>
          </w:p>
        </w:tc>
      </w:tr>
      <w:tr w:rsidR="00CF6E21" w:rsidRPr="001633FD" w14:paraId="4C9B79CB" w14:textId="77777777" w:rsidTr="00CF6E21">
        <w:trPr>
          <w:trHeight w:val="272"/>
          <w:jc w:val="center"/>
        </w:trPr>
        <w:tc>
          <w:tcPr>
            <w:tcW w:w="2447" w:type="dxa"/>
            <w:tcBorders>
              <w:right w:val="single" w:sz="4" w:space="0" w:color="auto"/>
            </w:tcBorders>
            <w:vAlign w:val="center"/>
          </w:tcPr>
          <w:p w14:paraId="64048C96" w14:textId="77777777" w:rsidR="00CF6E21" w:rsidRPr="009A0E20" w:rsidRDefault="00CF6E21" w:rsidP="00CF6E21">
            <w:pPr>
              <w:spacing w:line="276" w:lineRule="auto"/>
              <w:ind w:right="113"/>
              <w:rPr>
                <w:sz w:val="20"/>
                <w:szCs w:val="20"/>
              </w:rPr>
            </w:pPr>
            <w:r w:rsidRPr="009A0E20">
              <w:rPr>
                <w:sz w:val="20"/>
                <w:szCs w:val="20"/>
              </w:rPr>
              <w:t>Northern Territory (NT)</w:t>
            </w:r>
          </w:p>
        </w:tc>
        <w:tc>
          <w:tcPr>
            <w:tcW w:w="1439" w:type="dxa"/>
            <w:tcBorders>
              <w:left w:val="single" w:sz="4" w:space="0" w:color="auto"/>
            </w:tcBorders>
            <w:vAlign w:val="center"/>
          </w:tcPr>
          <w:p w14:paraId="1D9249A9" w14:textId="77777777" w:rsidR="00CF6E21" w:rsidRPr="00755DB6" w:rsidRDefault="00CF6E21" w:rsidP="00CF6E21">
            <w:pPr>
              <w:ind w:right="284"/>
              <w:jc w:val="right"/>
              <w:rPr>
                <w:bCs/>
                <w:sz w:val="20"/>
                <w:szCs w:val="20"/>
              </w:rPr>
            </w:pPr>
            <w:r w:rsidRPr="00755DB6">
              <w:rPr>
                <w:bCs/>
                <w:sz w:val="20"/>
                <w:szCs w:val="20"/>
              </w:rPr>
              <w:t>-0.218</w:t>
            </w:r>
          </w:p>
        </w:tc>
        <w:tc>
          <w:tcPr>
            <w:tcW w:w="1747" w:type="dxa"/>
            <w:vAlign w:val="center"/>
          </w:tcPr>
          <w:p w14:paraId="102092D8" w14:textId="77777777" w:rsidR="00CF6E21" w:rsidRPr="009A0E20" w:rsidRDefault="00CF6E21" w:rsidP="00CF6E21">
            <w:pPr>
              <w:ind w:right="284"/>
              <w:jc w:val="right"/>
              <w:rPr>
                <w:sz w:val="20"/>
                <w:szCs w:val="20"/>
              </w:rPr>
            </w:pPr>
            <w:r>
              <w:rPr>
                <w:sz w:val="20"/>
                <w:szCs w:val="20"/>
              </w:rPr>
              <w:t>[-0.262,-0.174]</w:t>
            </w:r>
          </w:p>
        </w:tc>
        <w:tc>
          <w:tcPr>
            <w:tcW w:w="1133" w:type="dxa"/>
            <w:tcBorders>
              <w:right w:val="single" w:sz="4" w:space="0" w:color="auto"/>
            </w:tcBorders>
          </w:tcPr>
          <w:p w14:paraId="4CAE0FA8" w14:textId="77777777" w:rsidR="00CF6E21" w:rsidRPr="009A0E20" w:rsidRDefault="00CF6E21" w:rsidP="00CF6E21">
            <w:pPr>
              <w:ind w:right="284"/>
              <w:jc w:val="right"/>
              <w:rPr>
                <w:sz w:val="20"/>
                <w:szCs w:val="20"/>
              </w:rPr>
            </w:pPr>
            <w:r>
              <w:rPr>
                <w:sz w:val="20"/>
                <w:szCs w:val="20"/>
              </w:rPr>
              <w:t>&lt; 0.001</w:t>
            </w:r>
          </w:p>
        </w:tc>
      </w:tr>
      <w:tr w:rsidR="00CF6E21" w:rsidRPr="001633FD" w14:paraId="22F7498D" w14:textId="77777777" w:rsidTr="00CF6E21">
        <w:trPr>
          <w:trHeight w:val="271"/>
          <w:jc w:val="center"/>
        </w:trPr>
        <w:tc>
          <w:tcPr>
            <w:tcW w:w="2447" w:type="dxa"/>
            <w:tcBorders>
              <w:right w:val="single" w:sz="4" w:space="0" w:color="auto"/>
            </w:tcBorders>
            <w:vAlign w:val="center"/>
          </w:tcPr>
          <w:p w14:paraId="039C51D1" w14:textId="77777777" w:rsidR="00CF6E21" w:rsidRPr="009A0E20" w:rsidRDefault="00CF6E21" w:rsidP="00CF6E21">
            <w:pPr>
              <w:spacing w:line="276" w:lineRule="auto"/>
              <w:ind w:right="113"/>
              <w:rPr>
                <w:sz w:val="20"/>
                <w:szCs w:val="20"/>
              </w:rPr>
            </w:pPr>
            <w:r>
              <w:rPr>
                <w:sz w:val="20"/>
                <w:szCs w:val="20"/>
              </w:rPr>
              <w:t>T=2009</w:t>
            </w:r>
          </w:p>
        </w:tc>
        <w:tc>
          <w:tcPr>
            <w:tcW w:w="1439" w:type="dxa"/>
            <w:tcBorders>
              <w:left w:val="single" w:sz="4" w:space="0" w:color="auto"/>
            </w:tcBorders>
            <w:vAlign w:val="center"/>
          </w:tcPr>
          <w:p w14:paraId="1EFB7613" w14:textId="77777777" w:rsidR="00CF6E21" w:rsidRPr="00755DB6" w:rsidRDefault="00CF6E21" w:rsidP="00CF6E21">
            <w:pPr>
              <w:ind w:right="284"/>
              <w:jc w:val="right"/>
              <w:rPr>
                <w:bCs/>
                <w:sz w:val="20"/>
                <w:szCs w:val="20"/>
              </w:rPr>
            </w:pPr>
            <w:r w:rsidRPr="00755DB6">
              <w:rPr>
                <w:bCs/>
                <w:sz w:val="20"/>
                <w:szCs w:val="20"/>
              </w:rPr>
              <w:t>-0.003</w:t>
            </w:r>
          </w:p>
        </w:tc>
        <w:tc>
          <w:tcPr>
            <w:tcW w:w="1747" w:type="dxa"/>
            <w:vAlign w:val="center"/>
          </w:tcPr>
          <w:p w14:paraId="2FED84C1" w14:textId="77777777" w:rsidR="00CF6E21" w:rsidRPr="009A0E20" w:rsidRDefault="00CF6E21" w:rsidP="00CF6E21">
            <w:pPr>
              <w:ind w:right="284"/>
              <w:jc w:val="right"/>
              <w:rPr>
                <w:sz w:val="20"/>
                <w:szCs w:val="20"/>
              </w:rPr>
            </w:pPr>
            <w:r>
              <w:rPr>
                <w:sz w:val="20"/>
                <w:szCs w:val="20"/>
              </w:rPr>
              <w:t>[-0.027,0.021]</w:t>
            </w:r>
          </w:p>
        </w:tc>
        <w:tc>
          <w:tcPr>
            <w:tcW w:w="1133" w:type="dxa"/>
            <w:tcBorders>
              <w:right w:val="single" w:sz="4" w:space="0" w:color="auto"/>
            </w:tcBorders>
          </w:tcPr>
          <w:p w14:paraId="460AAF63" w14:textId="77777777" w:rsidR="00CF6E21" w:rsidRPr="009A0E20" w:rsidRDefault="00CF6E21" w:rsidP="00CF6E21">
            <w:pPr>
              <w:ind w:right="284"/>
              <w:jc w:val="right"/>
              <w:rPr>
                <w:sz w:val="20"/>
                <w:szCs w:val="20"/>
              </w:rPr>
            </w:pPr>
            <w:r>
              <w:rPr>
                <w:sz w:val="20"/>
                <w:szCs w:val="20"/>
              </w:rPr>
              <w:t>0.883</w:t>
            </w:r>
          </w:p>
        </w:tc>
      </w:tr>
      <w:tr w:rsidR="00CF6E21" w:rsidRPr="008847EB" w14:paraId="7B515B09" w14:textId="77777777" w:rsidTr="00CF6E21">
        <w:trPr>
          <w:trHeight w:val="272"/>
          <w:jc w:val="center"/>
        </w:trPr>
        <w:tc>
          <w:tcPr>
            <w:tcW w:w="2447" w:type="dxa"/>
            <w:tcBorders>
              <w:right w:val="single" w:sz="4" w:space="0" w:color="auto"/>
            </w:tcBorders>
            <w:vAlign w:val="center"/>
          </w:tcPr>
          <w:p w14:paraId="03CD5EDF" w14:textId="77777777" w:rsidR="00CF6E21" w:rsidRPr="009A0E20" w:rsidRDefault="00CF6E21" w:rsidP="00CF6E21">
            <w:pPr>
              <w:spacing w:line="276" w:lineRule="auto"/>
              <w:ind w:right="113"/>
              <w:rPr>
                <w:sz w:val="20"/>
                <w:szCs w:val="20"/>
              </w:rPr>
            </w:pPr>
            <w:r>
              <w:rPr>
                <w:sz w:val="20"/>
                <w:szCs w:val="20"/>
              </w:rPr>
              <w:t>T=2010</w:t>
            </w:r>
          </w:p>
        </w:tc>
        <w:tc>
          <w:tcPr>
            <w:tcW w:w="1439" w:type="dxa"/>
            <w:tcBorders>
              <w:left w:val="single" w:sz="4" w:space="0" w:color="auto"/>
            </w:tcBorders>
            <w:vAlign w:val="center"/>
          </w:tcPr>
          <w:p w14:paraId="78BD50C6" w14:textId="77777777" w:rsidR="00CF6E21" w:rsidRPr="00755DB6" w:rsidRDefault="00CF6E21" w:rsidP="00CF6E21">
            <w:pPr>
              <w:ind w:right="284"/>
              <w:jc w:val="right"/>
              <w:rPr>
                <w:bCs/>
                <w:sz w:val="20"/>
                <w:szCs w:val="20"/>
              </w:rPr>
            </w:pPr>
            <w:r w:rsidRPr="00755DB6">
              <w:rPr>
                <w:bCs/>
                <w:sz w:val="20"/>
                <w:szCs w:val="20"/>
              </w:rPr>
              <w:t>-0.006</w:t>
            </w:r>
          </w:p>
        </w:tc>
        <w:tc>
          <w:tcPr>
            <w:tcW w:w="1747" w:type="dxa"/>
            <w:vAlign w:val="center"/>
          </w:tcPr>
          <w:p w14:paraId="11D0ABE0" w14:textId="77777777" w:rsidR="00CF6E21" w:rsidRPr="009A0E20" w:rsidRDefault="00CF6E21" w:rsidP="00CF6E21">
            <w:pPr>
              <w:ind w:right="284"/>
              <w:jc w:val="right"/>
              <w:rPr>
                <w:sz w:val="20"/>
                <w:szCs w:val="20"/>
              </w:rPr>
            </w:pPr>
            <w:r>
              <w:rPr>
                <w:sz w:val="20"/>
                <w:szCs w:val="20"/>
              </w:rPr>
              <w:t>[-0.032,0.020]</w:t>
            </w:r>
          </w:p>
        </w:tc>
        <w:tc>
          <w:tcPr>
            <w:tcW w:w="1133" w:type="dxa"/>
            <w:tcBorders>
              <w:right w:val="single" w:sz="4" w:space="0" w:color="auto"/>
            </w:tcBorders>
          </w:tcPr>
          <w:p w14:paraId="0D5E723E" w14:textId="77777777" w:rsidR="00CF6E21" w:rsidRPr="009A0E20" w:rsidRDefault="00CF6E21" w:rsidP="00CF6E21">
            <w:pPr>
              <w:ind w:right="284"/>
              <w:jc w:val="right"/>
              <w:rPr>
                <w:sz w:val="20"/>
                <w:szCs w:val="20"/>
              </w:rPr>
            </w:pPr>
            <w:r>
              <w:rPr>
                <w:sz w:val="20"/>
                <w:szCs w:val="20"/>
              </w:rPr>
              <w:t>0.746</w:t>
            </w:r>
          </w:p>
        </w:tc>
      </w:tr>
      <w:tr w:rsidR="00CF6E21" w:rsidRPr="001633FD" w14:paraId="0490C04A" w14:textId="77777777" w:rsidTr="00CF6E21">
        <w:trPr>
          <w:trHeight w:val="271"/>
          <w:jc w:val="center"/>
        </w:trPr>
        <w:tc>
          <w:tcPr>
            <w:tcW w:w="2447" w:type="dxa"/>
            <w:tcBorders>
              <w:right w:val="single" w:sz="4" w:space="0" w:color="auto"/>
            </w:tcBorders>
            <w:vAlign w:val="center"/>
          </w:tcPr>
          <w:p w14:paraId="7B1E500B" w14:textId="77777777" w:rsidR="00CF6E21" w:rsidRPr="009A0E20" w:rsidRDefault="00CF6E21" w:rsidP="00CF6E21">
            <w:pPr>
              <w:spacing w:line="276" w:lineRule="auto"/>
              <w:ind w:right="113"/>
              <w:rPr>
                <w:sz w:val="20"/>
                <w:szCs w:val="20"/>
              </w:rPr>
            </w:pPr>
            <w:r>
              <w:rPr>
                <w:sz w:val="20"/>
                <w:szCs w:val="20"/>
              </w:rPr>
              <w:t>T=2011</w:t>
            </w:r>
          </w:p>
        </w:tc>
        <w:tc>
          <w:tcPr>
            <w:tcW w:w="1439" w:type="dxa"/>
            <w:tcBorders>
              <w:left w:val="single" w:sz="4" w:space="0" w:color="auto"/>
            </w:tcBorders>
            <w:vAlign w:val="center"/>
          </w:tcPr>
          <w:p w14:paraId="54F1A5DD" w14:textId="77777777" w:rsidR="00CF6E21" w:rsidRPr="00755DB6" w:rsidRDefault="00CF6E21" w:rsidP="00CF6E21">
            <w:pPr>
              <w:ind w:right="284"/>
              <w:jc w:val="right"/>
              <w:rPr>
                <w:bCs/>
                <w:sz w:val="20"/>
                <w:szCs w:val="20"/>
              </w:rPr>
            </w:pPr>
            <w:r w:rsidRPr="00755DB6">
              <w:rPr>
                <w:bCs/>
                <w:sz w:val="20"/>
                <w:szCs w:val="20"/>
              </w:rPr>
              <w:t>-0.013</w:t>
            </w:r>
          </w:p>
        </w:tc>
        <w:tc>
          <w:tcPr>
            <w:tcW w:w="1747" w:type="dxa"/>
            <w:vAlign w:val="center"/>
          </w:tcPr>
          <w:p w14:paraId="5574F077" w14:textId="77777777" w:rsidR="00CF6E21" w:rsidRPr="009A0E20" w:rsidRDefault="00CF6E21" w:rsidP="00CF6E21">
            <w:pPr>
              <w:ind w:right="284"/>
              <w:jc w:val="right"/>
              <w:rPr>
                <w:sz w:val="20"/>
                <w:szCs w:val="20"/>
              </w:rPr>
            </w:pPr>
            <w:r>
              <w:rPr>
                <w:sz w:val="20"/>
                <w:szCs w:val="20"/>
              </w:rPr>
              <w:t>[-0.036,0.011]</w:t>
            </w:r>
          </w:p>
        </w:tc>
        <w:tc>
          <w:tcPr>
            <w:tcW w:w="1133" w:type="dxa"/>
            <w:tcBorders>
              <w:right w:val="single" w:sz="4" w:space="0" w:color="auto"/>
            </w:tcBorders>
          </w:tcPr>
          <w:p w14:paraId="0239F5A1" w14:textId="77777777" w:rsidR="00CF6E21" w:rsidRPr="009A0E20" w:rsidRDefault="00CF6E21" w:rsidP="00CF6E21">
            <w:pPr>
              <w:ind w:right="284"/>
              <w:jc w:val="right"/>
              <w:rPr>
                <w:sz w:val="20"/>
                <w:szCs w:val="20"/>
              </w:rPr>
            </w:pPr>
            <w:r>
              <w:rPr>
                <w:sz w:val="20"/>
                <w:szCs w:val="20"/>
              </w:rPr>
              <w:t>0.436</w:t>
            </w:r>
          </w:p>
        </w:tc>
      </w:tr>
      <w:tr w:rsidR="00CF6E21" w:rsidRPr="001633FD" w14:paraId="57389C02" w14:textId="77777777" w:rsidTr="00CF6E21">
        <w:trPr>
          <w:trHeight w:val="272"/>
          <w:jc w:val="center"/>
        </w:trPr>
        <w:tc>
          <w:tcPr>
            <w:tcW w:w="2447" w:type="dxa"/>
            <w:tcBorders>
              <w:right w:val="single" w:sz="4" w:space="0" w:color="auto"/>
            </w:tcBorders>
            <w:vAlign w:val="center"/>
          </w:tcPr>
          <w:p w14:paraId="402D7D19" w14:textId="77777777" w:rsidR="00CF6E21" w:rsidRPr="009A0E20" w:rsidRDefault="00CF6E21" w:rsidP="00CF6E21">
            <w:pPr>
              <w:spacing w:line="276" w:lineRule="auto"/>
              <w:ind w:right="113"/>
              <w:rPr>
                <w:sz w:val="20"/>
                <w:szCs w:val="20"/>
              </w:rPr>
            </w:pPr>
            <w:r>
              <w:rPr>
                <w:sz w:val="20"/>
                <w:szCs w:val="20"/>
              </w:rPr>
              <w:t>T=2012</w:t>
            </w:r>
          </w:p>
        </w:tc>
        <w:tc>
          <w:tcPr>
            <w:tcW w:w="1439" w:type="dxa"/>
            <w:tcBorders>
              <w:left w:val="single" w:sz="4" w:space="0" w:color="auto"/>
            </w:tcBorders>
            <w:vAlign w:val="center"/>
          </w:tcPr>
          <w:p w14:paraId="2C250AFB" w14:textId="77777777" w:rsidR="00CF6E21" w:rsidRPr="00755DB6" w:rsidRDefault="00CF6E21" w:rsidP="00CF6E21">
            <w:pPr>
              <w:ind w:right="284"/>
              <w:jc w:val="right"/>
              <w:rPr>
                <w:bCs/>
                <w:sz w:val="20"/>
                <w:szCs w:val="20"/>
              </w:rPr>
            </w:pPr>
            <w:r w:rsidRPr="00755DB6">
              <w:rPr>
                <w:bCs/>
                <w:sz w:val="20"/>
                <w:szCs w:val="20"/>
              </w:rPr>
              <w:t>-0.023</w:t>
            </w:r>
          </w:p>
        </w:tc>
        <w:tc>
          <w:tcPr>
            <w:tcW w:w="1747" w:type="dxa"/>
            <w:vAlign w:val="center"/>
          </w:tcPr>
          <w:p w14:paraId="242300BF" w14:textId="77777777" w:rsidR="00CF6E21" w:rsidRPr="009A0E20" w:rsidRDefault="00CF6E21" w:rsidP="00CF6E21">
            <w:pPr>
              <w:ind w:right="284"/>
              <w:jc w:val="right"/>
              <w:rPr>
                <w:sz w:val="20"/>
                <w:szCs w:val="20"/>
              </w:rPr>
            </w:pPr>
            <w:r>
              <w:rPr>
                <w:sz w:val="20"/>
                <w:szCs w:val="20"/>
              </w:rPr>
              <w:t>[-0.056,0.011]</w:t>
            </w:r>
          </w:p>
        </w:tc>
        <w:tc>
          <w:tcPr>
            <w:tcW w:w="1133" w:type="dxa"/>
            <w:tcBorders>
              <w:right w:val="single" w:sz="4" w:space="0" w:color="auto"/>
            </w:tcBorders>
          </w:tcPr>
          <w:p w14:paraId="6DE076C0" w14:textId="77777777" w:rsidR="00CF6E21" w:rsidRPr="009A0E20" w:rsidRDefault="00CF6E21" w:rsidP="00CF6E21">
            <w:pPr>
              <w:ind w:right="284"/>
              <w:jc w:val="right"/>
              <w:rPr>
                <w:sz w:val="20"/>
                <w:szCs w:val="20"/>
              </w:rPr>
            </w:pPr>
            <w:r>
              <w:rPr>
                <w:sz w:val="20"/>
                <w:szCs w:val="20"/>
              </w:rPr>
              <w:t>0.135</w:t>
            </w:r>
          </w:p>
        </w:tc>
      </w:tr>
      <w:tr w:rsidR="00CF6E21" w:rsidRPr="001633FD" w14:paraId="25541155" w14:textId="77777777" w:rsidTr="00CF6E21">
        <w:trPr>
          <w:trHeight w:val="271"/>
          <w:jc w:val="center"/>
        </w:trPr>
        <w:tc>
          <w:tcPr>
            <w:tcW w:w="2447" w:type="dxa"/>
            <w:tcBorders>
              <w:right w:val="single" w:sz="4" w:space="0" w:color="auto"/>
            </w:tcBorders>
            <w:vAlign w:val="center"/>
          </w:tcPr>
          <w:p w14:paraId="31C5E719" w14:textId="77777777" w:rsidR="00CF6E21" w:rsidRPr="009A0E20" w:rsidRDefault="00CF6E21" w:rsidP="00CF6E21">
            <w:pPr>
              <w:spacing w:line="276" w:lineRule="auto"/>
              <w:ind w:right="113"/>
              <w:rPr>
                <w:sz w:val="20"/>
                <w:szCs w:val="20"/>
              </w:rPr>
            </w:pPr>
            <w:r>
              <w:rPr>
                <w:sz w:val="20"/>
                <w:szCs w:val="20"/>
              </w:rPr>
              <w:t>Grade 3</w:t>
            </w:r>
          </w:p>
        </w:tc>
        <w:tc>
          <w:tcPr>
            <w:tcW w:w="1439" w:type="dxa"/>
            <w:tcBorders>
              <w:left w:val="single" w:sz="4" w:space="0" w:color="auto"/>
            </w:tcBorders>
            <w:vAlign w:val="center"/>
          </w:tcPr>
          <w:p w14:paraId="103F72EA" w14:textId="77777777" w:rsidR="00CF6E21" w:rsidRPr="00755DB6" w:rsidRDefault="00CF6E21" w:rsidP="00CF6E21">
            <w:pPr>
              <w:ind w:right="284"/>
              <w:jc w:val="right"/>
              <w:rPr>
                <w:bCs/>
                <w:sz w:val="20"/>
                <w:szCs w:val="20"/>
              </w:rPr>
            </w:pPr>
            <w:r>
              <w:rPr>
                <w:bCs/>
                <w:sz w:val="20"/>
                <w:szCs w:val="20"/>
              </w:rPr>
              <w:t>0.112</w:t>
            </w:r>
          </w:p>
        </w:tc>
        <w:tc>
          <w:tcPr>
            <w:tcW w:w="1747" w:type="dxa"/>
            <w:vAlign w:val="center"/>
          </w:tcPr>
          <w:p w14:paraId="6D2843C3" w14:textId="77777777" w:rsidR="00CF6E21" w:rsidRPr="009A0E20" w:rsidRDefault="00CF6E21" w:rsidP="00CF6E21">
            <w:pPr>
              <w:ind w:right="284"/>
              <w:jc w:val="right"/>
              <w:rPr>
                <w:sz w:val="20"/>
                <w:szCs w:val="20"/>
              </w:rPr>
            </w:pPr>
            <w:r>
              <w:rPr>
                <w:sz w:val="20"/>
                <w:szCs w:val="20"/>
              </w:rPr>
              <w:t>[0.087,0.138]</w:t>
            </w:r>
          </w:p>
        </w:tc>
        <w:tc>
          <w:tcPr>
            <w:tcW w:w="1133" w:type="dxa"/>
            <w:tcBorders>
              <w:right w:val="single" w:sz="4" w:space="0" w:color="auto"/>
            </w:tcBorders>
          </w:tcPr>
          <w:p w14:paraId="3CBC77FE" w14:textId="77777777" w:rsidR="00CF6E21" w:rsidRPr="009A0E20" w:rsidRDefault="00CF6E21" w:rsidP="00CF6E21">
            <w:pPr>
              <w:ind w:right="284"/>
              <w:jc w:val="right"/>
              <w:rPr>
                <w:sz w:val="20"/>
                <w:szCs w:val="20"/>
              </w:rPr>
            </w:pPr>
            <w:r>
              <w:rPr>
                <w:sz w:val="20"/>
                <w:szCs w:val="20"/>
              </w:rPr>
              <w:t>&lt; 0.001</w:t>
            </w:r>
          </w:p>
        </w:tc>
      </w:tr>
      <w:tr w:rsidR="00CF6E21" w:rsidRPr="001633FD" w14:paraId="24C49D8E" w14:textId="77777777" w:rsidTr="00CF6E21">
        <w:trPr>
          <w:trHeight w:val="272"/>
          <w:jc w:val="center"/>
        </w:trPr>
        <w:tc>
          <w:tcPr>
            <w:tcW w:w="2447" w:type="dxa"/>
            <w:tcBorders>
              <w:right w:val="single" w:sz="4" w:space="0" w:color="auto"/>
            </w:tcBorders>
            <w:vAlign w:val="center"/>
          </w:tcPr>
          <w:p w14:paraId="2529BD5A" w14:textId="77777777" w:rsidR="00CF6E21" w:rsidRPr="009A0E20" w:rsidRDefault="00CF6E21" w:rsidP="00CF6E21">
            <w:pPr>
              <w:spacing w:line="276" w:lineRule="auto"/>
              <w:ind w:right="113"/>
              <w:rPr>
                <w:sz w:val="20"/>
                <w:szCs w:val="20"/>
              </w:rPr>
            </w:pPr>
            <w:r>
              <w:rPr>
                <w:sz w:val="20"/>
                <w:szCs w:val="20"/>
              </w:rPr>
              <w:t>Grade 5</w:t>
            </w:r>
          </w:p>
        </w:tc>
        <w:tc>
          <w:tcPr>
            <w:tcW w:w="1439" w:type="dxa"/>
            <w:tcBorders>
              <w:left w:val="single" w:sz="4" w:space="0" w:color="auto"/>
            </w:tcBorders>
            <w:vAlign w:val="center"/>
          </w:tcPr>
          <w:p w14:paraId="4D51E682" w14:textId="77777777" w:rsidR="00CF6E21" w:rsidRPr="00755DB6" w:rsidRDefault="00CF6E21" w:rsidP="00CF6E21">
            <w:pPr>
              <w:ind w:right="284"/>
              <w:jc w:val="right"/>
              <w:rPr>
                <w:bCs/>
                <w:sz w:val="20"/>
                <w:szCs w:val="20"/>
              </w:rPr>
            </w:pPr>
            <w:r>
              <w:rPr>
                <w:bCs/>
                <w:sz w:val="20"/>
                <w:szCs w:val="20"/>
              </w:rPr>
              <w:t>0.117</w:t>
            </w:r>
          </w:p>
        </w:tc>
        <w:tc>
          <w:tcPr>
            <w:tcW w:w="1747" w:type="dxa"/>
            <w:vAlign w:val="center"/>
          </w:tcPr>
          <w:p w14:paraId="5A04E7A3" w14:textId="77777777" w:rsidR="00CF6E21" w:rsidRPr="009A0E20" w:rsidRDefault="00CF6E21" w:rsidP="00CF6E21">
            <w:pPr>
              <w:ind w:right="284"/>
              <w:jc w:val="right"/>
              <w:rPr>
                <w:sz w:val="20"/>
                <w:szCs w:val="20"/>
              </w:rPr>
            </w:pPr>
            <w:r>
              <w:rPr>
                <w:sz w:val="20"/>
                <w:szCs w:val="20"/>
              </w:rPr>
              <w:t>[0.091,0.144]</w:t>
            </w:r>
          </w:p>
        </w:tc>
        <w:tc>
          <w:tcPr>
            <w:tcW w:w="1133" w:type="dxa"/>
            <w:tcBorders>
              <w:right w:val="single" w:sz="4" w:space="0" w:color="auto"/>
            </w:tcBorders>
          </w:tcPr>
          <w:p w14:paraId="09372CF6" w14:textId="77777777" w:rsidR="00CF6E21" w:rsidRPr="009A0E20" w:rsidRDefault="00CF6E21" w:rsidP="00CF6E21">
            <w:pPr>
              <w:ind w:right="284"/>
              <w:jc w:val="right"/>
              <w:rPr>
                <w:sz w:val="20"/>
                <w:szCs w:val="20"/>
              </w:rPr>
            </w:pPr>
            <w:r>
              <w:rPr>
                <w:sz w:val="20"/>
                <w:szCs w:val="20"/>
              </w:rPr>
              <w:t>&lt; 0.001</w:t>
            </w:r>
          </w:p>
        </w:tc>
      </w:tr>
      <w:tr w:rsidR="00CF6E21" w:rsidRPr="001633FD" w14:paraId="62A5411C" w14:textId="77777777" w:rsidTr="00CF6E21">
        <w:trPr>
          <w:trHeight w:val="271"/>
          <w:jc w:val="center"/>
        </w:trPr>
        <w:tc>
          <w:tcPr>
            <w:tcW w:w="2447" w:type="dxa"/>
            <w:tcBorders>
              <w:right w:val="single" w:sz="4" w:space="0" w:color="auto"/>
            </w:tcBorders>
            <w:vAlign w:val="center"/>
          </w:tcPr>
          <w:p w14:paraId="25DD0F4E" w14:textId="77777777" w:rsidR="00CF6E21" w:rsidRPr="009A0E20" w:rsidRDefault="00CF6E21" w:rsidP="00CF6E21">
            <w:pPr>
              <w:spacing w:line="276" w:lineRule="auto"/>
              <w:ind w:right="113"/>
              <w:rPr>
                <w:sz w:val="20"/>
                <w:szCs w:val="20"/>
              </w:rPr>
            </w:pPr>
            <w:r>
              <w:rPr>
                <w:sz w:val="20"/>
                <w:szCs w:val="20"/>
              </w:rPr>
              <w:t>Grade 7</w:t>
            </w:r>
          </w:p>
        </w:tc>
        <w:tc>
          <w:tcPr>
            <w:tcW w:w="1439" w:type="dxa"/>
            <w:tcBorders>
              <w:left w:val="single" w:sz="4" w:space="0" w:color="auto"/>
            </w:tcBorders>
            <w:vAlign w:val="center"/>
          </w:tcPr>
          <w:p w14:paraId="2CA0D816" w14:textId="77777777" w:rsidR="00CF6E21" w:rsidRPr="00755DB6" w:rsidRDefault="00CF6E21" w:rsidP="00CF6E21">
            <w:pPr>
              <w:ind w:right="284"/>
              <w:jc w:val="right"/>
              <w:rPr>
                <w:bCs/>
                <w:sz w:val="20"/>
                <w:szCs w:val="20"/>
              </w:rPr>
            </w:pPr>
            <w:r>
              <w:rPr>
                <w:bCs/>
                <w:sz w:val="20"/>
                <w:szCs w:val="20"/>
              </w:rPr>
              <w:t>0.096</w:t>
            </w:r>
          </w:p>
        </w:tc>
        <w:tc>
          <w:tcPr>
            <w:tcW w:w="1747" w:type="dxa"/>
            <w:vAlign w:val="center"/>
          </w:tcPr>
          <w:p w14:paraId="318E9909" w14:textId="77777777" w:rsidR="00CF6E21" w:rsidRPr="009A0E20" w:rsidRDefault="00CF6E21" w:rsidP="00CF6E21">
            <w:pPr>
              <w:ind w:right="284"/>
              <w:jc w:val="right"/>
              <w:rPr>
                <w:sz w:val="20"/>
                <w:szCs w:val="20"/>
              </w:rPr>
            </w:pPr>
            <w:r>
              <w:rPr>
                <w:sz w:val="20"/>
                <w:szCs w:val="20"/>
              </w:rPr>
              <w:t>[0.080,0.113]</w:t>
            </w:r>
          </w:p>
        </w:tc>
        <w:tc>
          <w:tcPr>
            <w:tcW w:w="1133" w:type="dxa"/>
            <w:tcBorders>
              <w:right w:val="single" w:sz="4" w:space="0" w:color="auto"/>
            </w:tcBorders>
          </w:tcPr>
          <w:p w14:paraId="4691CE54" w14:textId="77777777" w:rsidR="00CF6E21" w:rsidRPr="009A0E20" w:rsidRDefault="00CF6E21" w:rsidP="00CF6E21">
            <w:pPr>
              <w:ind w:right="284"/>
              <w:jc w:val="right"/>
              <w:rPr>
                <w:sz w:val="20"/>
                <w:szCs w:val="20"/>
              </w:rPr>
            </w:pPr>
            <w:r>
              <w:rPr>
                <w:sz w:val="20"/>
                <w:szCs w:val="20"/>
              </w:rPr>
              <w:t>&lt; 0.001</w:t>
            </w:r>
          </w:p>
        </w:tc>
      </w:tr>
      <w:tr w:rsidR="00CF6E21" w:rsidRPr="001633FD" w14:paraId="1F35E990" w14:textId="77777777" w:rsidTr="00CF6E21">
        <w:trPr>
          <w:trHeight w:val="272"/>
          <w:jc w:val="center"/>
        </w:trPr>
        <w:tc>
          <w:tcPr>
            <w:tcW w:w="2447" w:type="dxa"/>
            <w:tcBorders>
              <w:bottom w:val="dashSmallGap" w:sz="4" w:space="0" w:color="auto"/>
              <w:right w:val="single" w:sz="4" w:space="0" w:color="auto"/>
            </w:tcBorders>
            <w:vAlign w:val="center"/>
          </w:tcPr>
          <w:p w14:paraId="78BFABC8" w14:textId="77777777" w:rsidR="00CF6E21" w:rsidRPr="009A0E20" w:rsidRDefault="00CF6E21" w:rsidP="00CF6E21">
            <w:pPr>
              <w:spacing w:line="276" w:lineRule="auto"/>
              <w:ind w:right="113"/>
              <w:rPr>
                <w:sz w:val="20"/>
                <w:szCs w:val="20"/>
              </w:rPr>
            </w:pPr>
            <w:r w:rsidRPr="009A0E20">
              <w:rPr>
                <w:sz w:val="20"/>
                <w:szCs w:val="20"/>
              </w:rPr>
              <w:t>Reading</w:t>
            </w:r>
          </w:p>
        </w:tc>
        <w:tc>
          <w:tcPr>
            <w:tcW w:w="1439" w:type="dxa"/>
            <w:tcBorders>
              <w:left w:val="single" w:sz="4" w:space="0" w:color="auto"/>
              <w:bottom w:val="dashSmallGap" w:sz="4" w:space="0" w:color="auto"/>
            </w:tcBorders>
            <w:vAlign w:val="center"/>
          </w:tcPr>
          <w:p w14:paraId="6C2E04F9" w14:textId="77777777" w:rsidR="00CF6E21" w:rsidRPr="009A0E20" w:rsidRDefault="00CF6E21" w:rsidP="00CF6E21">
            <w:pPr>
              <w:ind w:right="284"/>
              <w:jc w:val="right"/>
              <w:rPr>
                <w:sz w:val="20"/>
                <w:szCs w:val="20"/>
              </w:rPr>
            </w:pPr>
            <w:r w:rsidRPr="009A0E20">
              <w:rPr>
                <w:sz w:val="20"/>
                <w:szCs w:val="20"/>
              </w:rPr>
              <w:t>0.0</w:t>
            </w:r>
            <w:r>
              <w:rPr>
                <w:sz w:val="20"/>
                <w:szCs w:val="20"/>
              </w:rPr>
              <w:t>10</w:t>
            </w:r>
          </w:p>
        </w:tc>
        <w:tc>
          <w:tcPr>
            <w:tcW w:w="1747" w:type="dxa"/>
            <w:tcBorders>
              <w:bottom w:val="dashSmallGap" w:sz="4" w:space="0" w:color="auto"/>
            </w:tcBorders>
            <w:vAlign w:val="center"/>
          </w:tcPr>
          <w:p w14:paraId="3C81C542" w14:textId="77777777" w:rsidR="00CF6E21" w:rsidRPr="009A0E20" w:rsidRDefault="00CF6E21" w:rsidP="00CF6E21">
            <w:pPr>
              <w:ind w:right="284"/>
              <w:jc w:val="right"/>
              <w:rPr>
                <w:sz w:val="20"/>
                <w:szCs w:val="20"/>
              </w:rPr>
            </w:pPr>
            <w:r>
              <w:rPr>
                <w:sz w:val="20"/>
                <w:szCs w:val="20"/>
              </w:rPr>
              <w:t>[0.007,0.013]</w:t>
            </w:r>
          </w:p>
        </w:tc>
        <w:tc>
          <w:tcPr>
            <w:tcW w:w="1133" w:type="dxa"/>
            <w:tcBorders>
              <w:bottom w:val="dashSmallGap" w:sz="4" w:space="0" w:color="auto"/>
              <w:right w:val="single" w:sz="4" w:space="0" w:color="auto"/>
            </w:tcBorders>
          </w:tcPr>
          <w:p w14:paraId="5979581B" w14:textId="77777777" w:rsidR="00CF6E21" w:rsidRPr="009A0E20" w:rsidRDefault="00CF6E21" w:rsidP="00CF6E21">
            <w:pPr>
              <w:ind w:right="284"/>
              <w:jc w:val="right"/>
              <w:rPr>
                <w:sz w:val="20"/>
                <w:szCs w:val="20"/>
              </w:rPr>
            </w:pPr>
            <w:r>
              <w:rPr>
                <w:sz w:val="20"/>
                <w:szCs w:val="20"/>
              </w:rPr>
              <w:t>&lt; 0.001</w:t>
            </w:r>
          </w:p>
        </w:tc>
      </w:tr>
      <w:tr w:rsidR="00CF6E21" w:rsidRPr="001633FD" w14:paraId="15579DD0" w14:textId="77777777" w:rsidTr="00CF6E21">
        <w:trPr>
          <w:trHeight w:val="271"/>
          <w:jc w:val="center"/>
        </w:trPr>
        <w:tc>
          <w:tcPr>
            <w:tcW w:w="2447" w:type="dxa"/>
            <w:tcBorders>
              <w:top w:val="dashSmallGap" w:sz="4" w:space="0" w:color="auto"/>
              <w:right w:val="single" w:sz="4" w:space="0" w:color="auto"/>
            </w:tcBorders>
            <w:shd w:val="clear" w:color="auto" w:fill="auto"/>
            <w:vAlign w:val="center"/>
          </w:tcPr>
          <w:p w14:paraId="724E0669" w14:textId="77777777" w:rsidR="00CF6E21" w:rsidRPr="009A0E20" w:rsidRDefault="00CF6E21" w:rsidP="00CF6E21">
            <w:pPr>
              <w:spacing w:line="276" w:lineRule="auto"/>
              <w:ind w:right="113"/>
              <w:rPr>
                <w:sz w:val="20"/>
                <w:szCs w:val="20"/>
              </w:rPr>
            </w:pPr>
            <w:r w:rsidRPr="009A0E20">
              <w:rPr>
                <w:sz w:val="20"/>
                <w:szCs w:val="20"/>
              </w:rPr>
              <w:t>NT in 2009</w:t>
            </w:r>
          </w:p>
        </w:tc>
        <w:tc>
          <w:tcPr>
            <w:tcW w:w="1439" w:type="dxa"/>
            <w:tcBorders>
              <w:top w:val="dashSmallGap" w:sz="4" w:space="0" w:color="auto"/>
              <w:left w:val="single" w:sz="4" w:space="0" w:color="auto"/>
            </w:tcBorders>
            <w:shd w:val="clear" w:color="auto" w:fill="auto"/>
            <w:vAlign w:val="center"/>
          </w:tcPr>
          <w:p w14:paraId="3658E6D3" w14:textId="77777777" w:rsidR="00CF6E21" w:rsidRPr="00755DB6" w:rsidRDefault="00CF6E21" w:rsidP="00CF6E21">
            <w:pPr>
              <w:ind w:right="284"/>
              <w:jc w:val="right"/>
              <w:rPr>
                <w:bCs/>
                <w:sz w:val="20"/>
                <w:szCs w:val="20"/>
              </w:rPr>
            </w:pPr>
            <w:r>
              <w:rPr>
                <w:bCs/>
                <w:sz w:val="20"/>
                <w:szCs w:val="20"/>
              </w:rPr>
              <w:t>0.183</w:t>
            </w:r>
          </w:p>
        </w:tc>
        <w:tc>
          <w:tcPr>
            <w:tcW w:w="1747" w:type="dxa"/>
            <w:tcBorders>
              <w:top w:val="dashSmallGap" w:sz="4" w:space="0" w:color="auto"/>
            </w:tcBorders>
            <w:shd w:val="clear" w:color="auto" w:fill="auto"/>
            <w:vAlign w:val="center"/>
          </w:tcPr>
          <w:p w14:paraId="0B9C1016" w14:textId="77777777" w:rsidR="00CF6E21" w:rsidRPr="009A0E20" w:rsidRDefault="00CF6E21" w:rsidP="00CF6E21">
            <w:pPr>
              <w:ind w:right="284"/>
              <w:jc w:val="right"/>
              <w:rPr>
                <w:sz w:val="20"/>
                <w:szCs w:val="20"/>
              </w:rPr>
            </w:pPr>
            <w:r>
              <w:rPr>
                <w:sz w:val="20"/>
                <w:szCs w:val="20"/>
              </w:rPr>
              <w:t>[0.158,0.208]</w:t>
            </w:r>
          </w:p>
        </w:tc>
        <w:tc>
          <w:tcPr>
            <w:tcW w:w="1133" w:type="dxa"/>
            <w:tcBorders>
              <w:top w:val="dashSmallGap" w:sz="4" w:space="0" w:color="auto"/>
              <w:right w:val="single" w:sz="4" w:space="0" w:color="auto"/>
            </w:tcBorders>
          </w:tcPr>
          <w:p w14:paraId="7D21D0E3" w14:textId="77777777" w:rsidR="00CF6E21" w:rsidRPr="009A0E20" w:rsidRDefault="00CF6E21" w:rsidP="00CF6E21">
            <w:pPr>
              <w:ind w:right="284"/>
              <w:jc w:val="right"/>
              <w:rPr>
                <w:sz w:val="20"/>
                <w:szCs w:val="20"/>
              </w:rPr>
            </w:pPr>
            <w:r>
              <w:rPr>
                <w:sz w:val="20"/>
                <w:szCs w:val="20"/>
              </w:rPr>
              <w:t>&lt; 0.001</w:t>
            </w:r>
          </w:p>
        </w:tc>
      </w:tr>
      <w:tr w:rsidR="00CF6E21" w:rsidRPr="001633FD" w14:paraId="6F34E544" w14:textId="77777777" w:rsidTr="00CF6E21">
        <w:trPr>
          <w:trHeight w:val="272"/>
          <w:jc w:val="center"/>
        </w:trPr>
        <w:tc>
          <w:tcPr>
            <w:tcW w:w="2447" w:type="dxa"/>
            <w:tcBorders>
              <w:right w:val="single" w:sz="4" w:space="0" w:color="auto"/>
            </w:tcBorders>
            <w:shd w:val="clear" w:color="auto" w:fill="auto"/>
            <w:vAlign w:val="center"/>
          </w:tcPr>
          <w:p w14:paraId="5D4DE617" w14:textId="77777777" w:rsidR="00CF6E21" w:rsidRPr="009A0E20" w:rsidRDefault="00CF6E21" w:rsidP="00CF6E21">
            <w:pPr>
              <w:spacing w:line="276" w:lineRule="auto"/>
              <w:ind w:right="113"/>
              <w:rPr>
                <w:sz w:val="20"/>
                <w:szCs w:val="20"/>
              </w:rPr>
            </w:pPr>
            <w:r w:rsidRPr="009A0E20">
              <w:rPr>
                <w:sz w:val="20"/>
                <w:szCs w:val="20"/>
              </w:rPr>
              <w:t>NT in 2010</w:t>
            </w:r>
          </w:p>
        </w:tc>
        <w:tc>
          <w:tcPr>
            <w:tcW w:w="1439" w:type="dxa"/>
            <w:tcBorders>
              <w:left w:val="single" w:sz="4" w:space="0" w:color="auto"/>
            </w:tcBorders>
            <w:shd w:val="clear" w:color="auto" w:fill="auto"/>
            <w:vAlign w:val="center"/>
          </w:tcPr>
          <w:p w14:paraId="1080DCAC" w14:textId="77777777" w:rsidR="00CF6E21" w:rsidRPr="00755DB6" w:rsidRDefault="00CF6E21" w:rsidP="00CF6E21">
            <w:pPr>
              <w:ind w:right="284"/>
              <w:jc w:val="right"/>
              <w:rPr>
                <w:bCs/>
                <w:sz w:val="20"/>
                <w:szCs w:val="20"/>
              </w:rPr>
            </w:pPr>
            <w:r>
              <w:rPr>
                <w:bCs/>
                <w:sz w:val="20"/>
                <w:szCs w:val="20"/>
              </w:rPr>
              <w:t>0.092</w:t>
            </w:r>
          </w:p>
        </w:tc>
        <w:tc>
          <w:tcPr>
            <w:tcW w:w="1747" w:type="dxa"/>
            <w:shd w:val="clear" w:color="auto" w:fill="auto"/>
            <w:vAlign w:val="center"/>
          </w:tcPr>
          <w:p w14:paraId="3A9E5D92" w14:textId="77777777" w:rsidR="00CF6E21" w:rsidRPr="009A0E20" w:rsidRDefault="00CF6E21" w:rsidP="00CF6E21">
            <w:pPr>
              <w:ind w:right="284"/>
              <w:jc w:val="right"/>
              <w:rPr>
                <w:sz w:val="20"/>
                <w:szCs w:val="20"/>
              </w:rPr>
            </w:pPr>
            <w:r>
              <w:rPr>
                <w:sz w:val="20"/>
                <w:szCs w:val="20"/>
              </w:rPr>
              <w:t>[0.066,0.117]</w:t>
            </w:r>
          </w:p>
        </w:tc>
        <w:tc>
          <w:tcPr>
            <w:tcW w:w="1133" w:type="dxa"/>
            <w:tcBorders>
              <w:right w:val="single" w:sz="4" w:space="0" w:color="auto"/>
            </w:tcBorders>
          </w:tcPr>
          <w:p w14:paraId="68786E85" w14:textId="77777777" w:rsidR="00CF6E21" w:rsidRPr="009A0E20" w:rsidRDefault="00CF6E21" w:rsidP="00CF6E21">
            <w:pPr>
              <w:ind w:right="284"/>
              <w:jc w:val="right"/>
              <w:rPr>
                <w:sz w:val="20"/>
                <w:szCs w:val="20"/>
              </w:rPr>
            </w:pPr>
            <w:r>
              <w:rPr>
                <w:sz w:val="20"/>
                <w:szCs w:val="20"/>
              </w:rPr>
              <w:t>&lt; 0.001</w:t>
            </w:r>
          </w:p>
        </w:tc>
      </w:tr>
      <w:tr w:rsidR="00CF6E21" w:rsidRPr="001633FD" w14:paraId="1489CD33" w14:textId="77777777" w:rsidTr="00CF6E21">
        <w:trPr>
          <w:trHeight w:val="271"/>
          <w:jc w:val="center"/>
        </w:trPr>
        <w:tc>
          <w:tcPr>
            <w:tcW w:w="2447" w:type="dxa"/>
            <w:tcBorders>
              <w:right w:val="single" w:sz="4" w:space="0" w:color="auto"/>
            </w:tcBorders>
            <w:shd w:val="clear" w:color="auto" w:fill="auto"/>
            <w:vAlign w:val="center"/>
          </w:tcPr>
          <w:p w14:paraId="5B4C52B2" w14:textId="77777777" w:rsidR="00CF6E21" w:rsidRPr="009A0E20" w:rsidRDefault="00CF6E21" w:rsidP="00CF6E21">
            <w:pPr>
              <w:spacing w:line="276" w:lineRule="auto"/>
              <w:ind w:right="113"/>
              <w:rPr>
                <w:sz w:val="20"/>
                <w:szCs w:val="20"/>
              </w:rPr>
            </w:pPr>
            <w:r w:rsidRPr="009A0E20">
              <w:rPr>
                <w:sz w:val="20"/>
                <w:szCs w:val="20"/>
              </w:rPr>
              <w:t>NT in 2011</w:t>
            </w:r>
          </w:p>
        </w:tc>
        <w:tc>
          <w:tcPr>
            <w:tcW w:w="1439" w:type="dxa"/>
            <w:tcBorders>
              <w:left w:val="single" w:sz="4" w:space="0" w:color="auto"/>
            </w:tcBorders>
            <w:shd w:val="clear" w:color="auto" w:fill="auto"/>
            <w:vAlign w:val="center"/>
          </w:tcPr>
          <w:p w14:paraId="1A0D4D35" w14:textId="77777777" w:rsidR="00CF6E21" w:rsidRPr="00755DB6" w:rsidRDefault="00CF6E21" w:rsidP="00CF6E21">
            <w:pPr>
              <w:ind w:right="284"/>
              <w:jc w:val="right"/>
              <w:rPr>
                <w:bCs/>
                <w:sz w:val="20"/>
                <w:szCs w:val="20"/>
              </w:rPr>
            </w:pPr>
            <w:r w:rsidRPr="00755DB6">
              <w:rPr>
                <w:bCs/>
                <w:sz w:val="20"/>
                <w:szCs w:val="20"/>
              </w:rPr>
              <w:t>0.1</w:t>
            </w:r>
            <w:r>
              <w:rPr>
                <w:bCs/>
                <w:sz w:val="20"/>
                <w:szCs w:val="20"/>
              </w:rPr>
              <w:t>02</w:t>
            </w:r>
          </w:p>
        </w:tc>
        <w:tc>
          <w:tcPr>
            <w:tcW w:w="1747" w:type="dxa"/>
            <w:shd w:val="clear" w:color="auto" w:fill="auto"/>
            <w:vAlign w:val="center"/>
          </w:tcPr>
          <w:p w14:paraId="0B57BC3B" w14:textId="77777777" w:rsidR="00CF6E21" w:rsidRPr="009A0E20" w:rsidRDefault="00CF6E21" w:rsidP="00CF6E21">
            <w:pPr>
              <w:ind w:right="284"/>
              <w:jc w:val="right"/>
              <w:rPr>
                <w:sz w:val="20"/>
                <w:szCs w:val="20"/>
              </w:rPr>
            </w:pPr>
            <w:r>
              <w:rPr>
                <w:sz w:val="20"/>
                <w:szCs w:val="20"/>
              </w:rPr>
              <w:t>[0.077,0.123]</w:t>
            </w:r>
          </w:p>
        </w:tc>
        <w:tc>
          <w:tcPr>
            <w:tcW w:w="1133" w:type="dxa"/>
            <w:tcBorders>
              <w:right w:val="single" w:sz="4" w:space="0" w:color="auto"/>
            </w:tcBorders>
          </w:tcPr>
          <w:p w14:paraId="3FDCCBF8" w14:textId="77777777" w:rsidR="00CF6E21" w:rsidRPr="009A0E20" w:rsidRDefault="00CF6E21" w:rsidP="00CF6E21">
            <w:pPr>
              <w:ind w:right="284"/>
              <w:jc w:val="right"/>
              <w:rPr>
                <w:sz w:val="20"/>
                <w:szCs w:val="20"/>
              </w:rPr>
            </w:pPr>
            <w:r>
              <w:rPr>
                <w:sz w:val="20"/>
                <w:szCs w:val="20"/>
              </w:rPr>
              <w:t>&lt; 0.001</w:t>
            </w:r>
          </w:p>
        </w:tc>
      </w:tr>
      <w:tr w:rsidR="00CF6E21" w:rsidRPr="001633FD" w14:paraId="7838BE72" w14:textId="77777777" w:rsidTr="00CF6E21">
        <w:trPr>
          <w:trHeight w:val="272"/>
          <w:jc w:val="center"/>
        </w:trPr>
        <w:tc>
          <w:tcPr>
            <w:tcW w:w="2447" w:type="dxa"/>
            <w:tcBorders>
              <w:bottom w:val="single" w:sz="4" w:space="0" w:color="auto"/>
              <w:right w:val="single" w:sz="4" w:space="0" w:color="auto"/>
            </w:tcBorders>
            <w:shd w:val="clear" w:color="auto" w:fill="auto"/>
            <w:vAlign w:val="center"/>
          </w:tcPr>
          <w:p w14:paraId="0591EAC8" w14:textId="77777777" w:rsidR="00CF6E21" w:rsidRPr="009A0E20" w:rsidRDefault="00CF6E21" w:rsidP="00CF6E21">
            <w:pPr>
              <w:spacing w:line="276" w:lineRule="auto"/>
              <w:ind w:right="113"/>
              <w:rPr>
                <w:sz w:val="20"/>
                <w:szCs w:val="20"/>
              </w:rPr>
            </w:pPr>
            <w:r w:rsidRPr="009A0E20">
              <w:rPr>
                <w:sz w:val="20"/>
                <w:szCs w:val="20"/>
              </w:rPr>
              <w:t>NT in 2012</w:t>
            </w:r>
          </w:p>
        </w:tc>
        <w:tc>
          <w:tcPr>
            <w:tcW w:w="1439" w:type="dxa"/>
            <w:tcBorders>
              <w:left w:val="single" w:sz="4" w:space="0" w:color="auto"/>
              <w:bottom w:val="single" w:sz="4" w:space="0" w:color="auto"/>
            </w:tcBorders>
            <w:shd w:val="clear" w:color="auto" w:fill="auto"/>
            <w:vAlign w:val="center"/>
          </w:tcPr>
          <w:p w14:paraId="49E8B88C" w14:textId="77777777" w:rsidR="00CF6E21" w:rsidRPr="00755DB6" w:rsidRDefault="00CF6E21" w:rsidP="00CF6E21">
            <w:pPr>
              <w:ind w:right="284"/>
              <w:jc w:val="right"/>
              <w:rPr>
                <w:bCs/>
                <w:sz w:val="20"/>
                <w:szCs w:val="20"/>
              </w:rPr>
            </w:pPr>
            <w:r w:rsidRPr="00755DB6">
              <w:rPr>
                <w:bCs/>
                <w:sz w:val="20"/>
                <w:szCs w:val="20"/>
              </w:rPr>
              <w:t>0.0</w:t>
            </w:r>
            <w:r>
              <w:rPr>
                <w:bCs/>
                <w:sz w:val="20"/>
                <w:szCs w:val="20"/>
              </w:rPr>
              <w:t>83</w:t>
            </w:r>
          </w:p>
        </w:tc>
        <w:tc>
          <w:tcPr>
            <w:tcW w:w="1747" w:type="dxa"/>
            <w:tcBorders>
              <w:bottom w:val="single" w:sz="4" w:space="0" w:color="auto"/>
            </w:tcBorders>
            <w:shd w:val="clear" w:color="auto" w:fill="auto"/>
            <w:vAlign w:val="center"/>
          </w:tcPr>
          <w:p w14:paraId="7FFCAE0B" w14:textId="77777777" w:rsidR="00CF6E21" w:rsidRPr="009A0E20" w:rsidRDefault="00CF6E21" w:rsidP="00CF6E21">
            <w:pPr>
              <w:ind w:right="284"/>
              <w:jc w:val="right"/>
              <w:rPr>
                <w:sz w:val="20"/>
                <w:szCs w:val="20"/>
              </w:rPr>
            </w:pPr>
            <w:r>
              <w:rPr>
                <w:sz w:val="20"/>
                <w:szCs w:val="20"/>
              </w:rPr>
              <w:t>[0.048,0.118]</w:t>
            </w:r>
          </w:p>
        </w:tc>
        <w:tc>
          <w:tcPr>
            <w:tcW w:w="1133" w:type="dxa"/>
            <w:tcBorders>
              <w:bottom w:val="single" w:sz="4" w:space="0" w:color="auto"/>
              <w:right w:val="single" w:sz="4" w:space="0" w:color="auto"/>
            </w:tcBorders>
          </w:tcPr>
          <w:p w14:paraId="1BADDE60" w14:textId="77777777" w:rsidR="00CF6E21" w:rsidRPr="009A0E20" w:rsidRDefault="00CF6E21" w:rsidP="00CF6E21">
            <w:pPr>
              <w:ind w:right="284"/>
              <w:jc w:val="right"/>
              <w:rPr>
                <w:sz w:val="20"/>
                <w:szCs w:val="20"/>
              </w:rPr>
            </w:pPr>
            <w:r>
              <w:rPr>
                <w:sz w:val="20"/>
                <w:szCs w:val="20"/>
              </w:rPr>
              <w:t>&lt; 0.001</w:t>
            </w:r>
          </w:p>
        </w:tc>
      </w:tr>
    </w:tbl>
    <w:p w14:paraId="33EF16BF" w14:textId="77777777" w:rsidR="00CF6E21" w:rsidRPr="0046464B" w:rsidRDefault="00CF6E21" w:rsidP="00AF23AE">
      <w:pPr>
        <w:pStyle w:val="TableNotes"/>
        <w:spacing w:before="240"/>
        <w:ind w:left="567" w:right="407"/>
        <w:rPr>
          <w:sz w:val="20"/>
          <w:szCs w:val="20"/>
        </w:rPr>
      </w:pPr>
      <w:r>
        <w:rPr>
          <w:i/>
          <w:iCs/>
          <w:sz w:val="20"/>
          <w:szCs w:val="20"/>
        </w:rPr>
        <w:t xml:space="preserve">Note. </w:t>
      </w:r>
      <w:r>
        <w:rPr>
          <w:sz w:val="20"/>
          <w:szCs w:val="20"/>
        </w:rPr>
        <w:t xml:space="preserve">Linear model fit with weights for total Indigenous students in each grade, domain, state and year pooled over all eight states and territories; </w:t>
      </w:r>
      <w:r>
        <w:rPr>
          <w:i/>
          <w:iCs/>
          <w:sz w:val="20"/>
          <w:szCs w:val="20"/>
        </w:rPr>
        <w:t xml:space="preserve">N </w:t>
      </w:r>
      <w:r>
        <w:rPr>
          <w:sz w:val="20"/>
          <w:szCs w:val="20"/>
        </w:rPr>
        <w:t xml:space="preserve">= 320; </w:t>
      </w:r>
      <w:r>
        <w:rPr>
          <w:i/>
          <w:iCs/>
          <w:sz w:val="20"/>
          <w:szCs w:val="20"/>
        </w:rPr>
        <w:t>R</w:t>
      </w:r>
      <w:r>
        <w:rPr>
          <w:i/>
          <w:iCs/>
          <w:sz w:val="20"/>
          <w:szCs w:val="20"/>
          <w:vertAlign w:val="superscript"/>
        </w:rPr>
        <w:t xml:space="preserve">2 </w:t>
      </w:r>
      <w:r>
        <w:rPr>
          <w:sz w:val="20"/>
          <w:szCs w:val="20"/>
        </w:rPr>
        <w:t xml:space="preserve">= 0.726. P-values and confidence intervals from bootstrapped t-statistics (2000 replications) using Cameron et al.'s (2008) wild cluster bootstrap procedure clustered at the state level using the </w:t>
      </w:r>
      <w:proofErr w:type="spellStart"/>
      <w:r>
        <w:rPr>
          <w:sz w:val="20"/>
          <w:szCs w:val="20"/>
        </w:rPr>
        <w:t>clusterSEs</w:t>
      </w:r>
      <w:proofErr w:type="spellEnd"/>
      <w:r>
        <w:rPr>
          <w:sz w:val="20"/>
          <w:szCs w:val="20"/>
        </w:rPr>
        <w:t xml:space="preserve"> package in R (</w:t>
      </w:r>
      <w:proofErr w:type="spellStart"/>
      <w:r>
        <w:rPr>
          <w:sz w:val="20"/>
          <w:szCs w:val="20"/>
        </w:rPr>
        <w:t>Esarey</w:t>
      </w:r>
      <w:proofErr w:type="spellEnd"/>
      <w:r>
        <w:rPr>
          <w:sz w:val="20"/>
          <w:szCs w:val="20"/>
        </w:rPr>
        <w:t xml:space="preserve">, 2015). </w:t>
      </w:r>
    </w:p>
    <w:p w14:paraId="7C7CF220" w14:textId="77777777" w:rsidR="005E6070" w:rsidRDefault="005E6070" w:rsidP="00F51A5B">
      <w:pPr>
        <w:spacing w:after="240"/>
        <w:contextualSpacing/>
      </w:pPr>
    </w:p>
    <w:p w14:paraId="51461188" w14:textId="77777777" w:rsidR="003F54AD" w:rsidRDefault="005E6070" w:rsidP="003F54AD">
      <w:pPr>
        <w:spacing w:after="120" w:line="360" w:lineRule="auto"/>
        <w:ind w:firstLine="204"/>
        <w:jc w:val="both"/>
      </w:pPr>
      <w:r w:rsidRPr="00F9009D">
        <w:t>T</w:t>
      </w:r>
      <w:r>
        <w:t xml:space="preserve">able 5 presents the </w:t>
      </w:r>
      <w:r w:rsidRPr="00F9009D">
        <w:t>results</w:t>
      </w:r>
      <w:r>
        <w:t xml:space="preserve"> from a linear model with weights equal to the number of Indigenous students in each grade, domain, state, year. As we allow that observations across grade levels and domains within a state may be correlated, we apply Cameron et al.'s (2008) wild cluster bootstrap procedure clustered at the state level to estimat</w:t>
      </w:r>
      <w:r w:rsidR="00BE5188">
        <w:t>e</w:t>
      </w:r>
      <w:r>
        <w:t xml:space="preserve"> standard errors. W</w:t>
      </w:r>
      <w:r w:rsidRPr="00F9009D">
        <w:t>e find that the average participation rate of the Indigenous population in the No</w:t>
      </w:r>
      <w:r>
        <w:t>rthern Territory in 2008 is almost 22</w:t>
      </w:r>
      <w:r w:rsidRPr="00F9009D">
        <w:t xml:space="preserve"> percentage points lower than the average rate for</w:t>
      </w:r>
      <w:r>
        <w:t xml:space="preserve"> Indigenous students in other states and territories, highlighting the relative disadvantage of the Indigenous population in the Northern Territory</w:t>
      </w:r>
      <w:r w:rsidR="00BE5188">
        <w:t xml:space="preserve">. This </w:t>
      </w:r>
      <w:r>
        <w:t>accords with the differences outlined in Section 2. For all Indigenous students in Australia, participation rates in grades 3, 5 and 7 are significantly higher than in grade 9, indicating a substantial degree of general truancy in grade 9—still in compulsory schooling—among the general Indigenous population.</w:t>
      </w:r>
      <w:r w:rsidRPr="00F9009D">
        <w:t xml:space="preserve"> </w:t>
      </w:r>
      <w:r>
        <w:t>We also find p</w:t>
      </w:r>
      <w:r w:rsidRPr="00F9009D">
        <w:t>articipation rates</w:t>
      </w:r>
      <w:r>
        <w:t xml:space="preserve"> declining slightly over time after 2008 among all Indigenous children, mirroring a similar trend in the general population of </w:t>
      </w:r>
      <w:r>
        <w:lastRenderedPageBreak/>
        <w:t>Australia</w:t>
      </w:r>
      <w:r w:rsidR="00BE5188">
        <w:t>. W</w:t>
      </w:r>
      <w:r>
        <w:t xml:space="preserve">e find </w:t>
      </w:r>
      <w:r w:rsidR="008B7F88">
        <w:t xml:space="preserve">that </w:t>
      </w:r>
      <w:r w:rsidRPr="00F9009D">
        <w:t>participation rat</w:t>
      </w:r>
      <w:r>
        <w:t xml:space="preserve">es </w:t>
      </w:r>
      <w:r w:rsidR="008B7F88">
        <w:t>in reading are</w:t>
      </w:r>
      <w:r w:rsidR="00BE5188">
        <w:t>,</w:t>
      </w:r>
      <w:r w:rsidR="008B7F88">
        <w:t xml:space="preserve"> on average</w:t>
      </w:r>
      <w:r w:rsidR="00BE5188">
        <w:t>,</w:t>
      </w:r>
      <w:r w:rsidR="008B7F88">
        <w:t xml:space="preserve"> one percentage point higher than in numeracy, a</w:t>
      </w:r>
      <w:r w:rsidR="008B7F88" w:rsidRPr="00F9009D">
        <w:t xml:space="preserve"> </w:t>
      </w:r>
      <w:r w:rsidR="00BE5188">
        <w:t xml:space="preserve">small </w:t>
      </w:r>
      <w:r w:rsidR="008B7F88">
        <w:t>d</w:t>
      </w:r>
      <w:r w:rsidR="008B7F88" w:rsidRPr="00F9009D">
        <w:t>ifference</w:t>
      </w:r>
      <w:r>
        <w:t xml:space="preserve">. </w:t>
      </w:r>
    </w:p>
    <w:p w14:paraId="7FDA52A4" w14:textId="77777777" w:rsidR="003F54AD" w:rsidRDefault="00F51A5B" w:rsidP="003F54AD">
      <w:pPr>
        <w:spacing w:after="120" w:line="360" w:lineRule="auto"/>
        <w:ind w:firstLine="204"/>
        <w:jc w:val="both"/>
      </w:pPr>
      <w:r>
        <w:t>T</w:t>
      </w:r>
      <w:r w:rsidRPr="00F9009D">
        <w:t>he difference</w:t>
      </w:r>
      <w:r>
        <w:t>-</w:t>
      </w:r>
      <w:r w:rsidRPr="00F9009D">
        <w:t>in</w:t>
      </w:r>
      <w:r>
        <w:t>-</w:t>
      </w:r>
      <w:r w:rsidRPr="00F9009D">
        <w:t xml:space="preserve">difference </w:t>
      </w:r>
      <w:r>
        <w:t xml:space="preserve">coefficients, which indicate </w:t>
      </w:r>
      <w:r w:rsidRPr="00F9009D">
        <w:t xml:space="preserve">the </w:t>
      </w:r>
      <w:r>
        <w:t xml:space="preserve">impact of </w:t>
      </w:r>
      <w:r w:rsidR="00BE5188">
        <w:t xml:space="preserve">the threat </w:t>
      </w:r>
      <w:r w:rsidR="003F54AD">
        <w:t xml:space="preserve">to withhold welfare payments </w:t>
      </w:r>
      <w:r>
        <w:t xml:space="preserve">on Indigenous participation in the Northern Territory as it varies over time, </w:t>
      </w:r>
      <w:r w:rsidRPr="00F9009D">
        <w:t>appear in the bottom four rows of Table 5</w:t>
      </w:r>
      <w:r>
        <w:t>, below the dotted line</w:t>
      </w:r>
      <w:r w:rsidRPr="00F9009D">
        <w:t xml:space="preserve">. </w:t>
      </w:r>
      <w:r w:rsidR="009C088E">
        <w:t>W</w:t>
      </w:r>
      <w:r w:rsidR="009C088E" w:rsidRPr="00F9009D">
        <w:t>e find</w:t>
      </w:r>
      <w:r w:rsidR="00BE5188">
        <w:t xml:space="preserve"> </w:t>
      </w:r>
      <w:r w:rsidR="009C088E" w:rsidRPr="00F9009D">
        <w:t xml:space="preserve">a </w:t>
      </w:r>
      <w:r w:rsidR="00BE5188">
        <w:t>large</w:t>
      </w:r>
      <w:r w:rsidR="009C088E" w:rsidRPr="00F9009D">
        <w:t xml:space="preserve"> </w:t>
      </w:r>
      <w:r w:rsidR="009C088E">
        <w:t xml:space="preserve">increase </w:t>
      </w:r>
      <w:r w:rsidR="00450A5D">
        <w:t>of 18</w:t>
      </w:r>
      <w:r w:rsidR="009C088E" w:rsidRPr="00F9009D">
        <w:t>.</w:t>
      </w:r>
      <w:r w:rsidR="00450A5D">
        <w:t>3</w:t>
      </w:r>
      <w:r w:rsidR="009C088E" w:rsidRPr="00F9009D">
        <w:t xml:space="preserve"> percentage points in 2009, which then </w:t>
      </w:r>
      <w:r w:rsidR="009C088E">
        <w:t xml:space="preserve">declines </w:t>
      </w:r>
      <w:r w:rsidR="00450A5D">
        <w:t>by</w:t>
      </w:r>
      <w:r w:rsidR="009C088E">
        <w:t xml:space="preserve"> half </w:t>
      </w:r>
      <w:r w:rsidR="009C088E" w:rsidRPr="00F9009D">
        <w:t xml:space="preserve">in 2010, </w:t>
      </w:r>
      <w:r w:rsidR="009C088E">
        <w:t>followed by a slight rise</w:t>
      </w:r>
      <w:r w:rsidR="009C088E" w:rsidRPr="00F9009D">
        <w:t xml:space="preserve"> in 2011, and </w:t>
      </w:r>
      <w:r w:rsidR="009C088E">
        <w:t xml:space="preserve">again a </w:t>
      </w:r>
      <w:r w:rsidR="009C088E" w:rsidRPr="00F9009D">
        <w:t>fall in 2012 to a level 8.</w:t>
      </w:r>
      <w:r w:rsidR="009C088E">
        <w:t>4</w:t>
      </w:r>
      <w:r w:rsidR="009C088E" w:rsidRPr="00F9009D">
        <w:t xml:space="preserve"> percentage points above 2008 participation rates. </w:t>
      </w:r>
      <w:r w:rsidR="009C088E">
        <w:t xml:space="preserve">All the </w:t>
      </w:r>
      <w:r w:rsidR="00450A5D">
        <w:t xml:space="preserve">difference-in-difference </w:t>
      </w:r>
      <w:r w:rsidR="009C088E">
        <w:t>estimates are significantly g</w:t>
      </w:r>
      <w:r w:rsidR="00450A5D">
        <w:t>reater than the base year, 2008, with</w:t>
      </w:r>
      <w:r w:rsidR="009C088E">
        <w:t xml:space="preserve"> </w:t>
      </w:r>
      <w:r w:rsidR="00450A5D">
        <w:t>the point estimate for</w:t>
      </w:r>
      <w:r w:rsidR="009C088E" w:rsidRPr="00F9009D">
        <w:t xml:space="preserve"> 2009 </w:t>
      </w:r>
      <w:r w:rsidR="00450A5D">
        <w:t>significantly different from all the other years</w:t>
      </w:r>
      <w:r w:rsidR="009C088E">
        <w:t xml:space="preserve">. </w:t>
      </w:r>
      <w:r w:rsidR="00450A5D">
        <w:t>The</w:t>
      </w:r>
      <w:r w:rsidR="009C088E" w:rsidRPr="00F9009D">
        <w:t xml:space="preserve"> estimates for 2010, 2011 and 2012 are not statistically different from each other. </w:t>
      </w:r>
      <w:r w:rsidR="009C088E">
        <w:t>The slight rise in 2011 presumably echoes the strong effect registered in 2009, as students tested in 2011 in grades 5, 7 and 9 were the same students tested in 2009, in grades 3, 5 and 7.</w:t>
      </w:r>
      <w:r w:rsidR="00E8318E">
        <w:rPr>
          <w:rStyle w:val="FootnoteReference"/>
        </w:rPr>
        <w:footnoteReference w:id="14"/>
      </w:r>
    </w:p>
    <w:p w14:paraId="3C45F96C" w14:textId="77777777" w:rsidR="003F54AD" w:rsidRDefault="005E6070" w:rsidP="003F54AD">
      <w:pPr>
        <w:spacing w:after="120" w:line="360" w:lineRule="auto"/>
        <w:ind w:firstLine="204"/>
        <w:jc w:val="both"/>
      </w:pPr>
      <w:r>
        <w:t xml:space="preserve">Difference-in-difference analysis rests on the assumption </w:t>
      </w:r>
      <w:r w:rsidR="001F3A4D">
        <w:t>that if the Indigenous population in the N</w:t>
      </w:r>
      <w:r w:rsidR="003F54AD">
        <w:t xml:space="preserve">orthern </w:t>
      </w:r>
      <w:r w:rsidR="001F3A4D">
        <w:t>T</w:t>
      </w:r>
      <w:r w:rsidR="003F54AD">
        <w:t>erritory</w:t>
      </w:r>
      <w:r w:rsidR="001F3A4D">
        <w:t xml:space="preserve"> had not actually been threatened, the </w:t>
      </w:r>
      <w:r w:rsidR="003F54AD">
        <w:t xml:space="preserve">change </w:t>
      </w:r>
      <w:r w:rsidR="001F3A4D">
        <w:t>over</w:t>
      </w:r>
      <w:r w:rsidR="003F54AD">
        <w:t xml:space="preserve"> </w:t>
      </w:r>
      <w:r w:rsidR="001F3A4D">
        <w:t>time in student participation rates in the N</w:t>
      </w:r>
      <w:r w:rsidR="003F54AD">
        <w:t>orthern Territory</w:t>
      </w:r>
      <w:r w:rsidR="001F3A4D">
        <w:t xml:space="preserve"> would be approximately the same as that of the Indigenous students outside the N</w:t>
      </w:r>
      <w:r w:rsidR="003F54AD">
        <w:t xml:space="preserve">orthern Territory. </w:t>
      </w:r>
      <w:r w:rsidR="001F3A4D">
        <w:t xml:space="preserve">Evidence of </w:t>
      </w:r>
      <w:r w:rsidR="003F54AD">
        <w:t>Indigenous student participation in the Northern Territory sharing a common trend with Indigenous students elsewhere in Australia before 2009 would support this assumption. T</w:t>
      </w:r>
      <w:r w:rsidR="00566F89">
        <w:t xml:space="preserve">his cannot be </w:t>
      </w:r>
      <w:r w:rsidR="001F3A4D">
        <w:t xml:space="preserve">evaluated </w:t>
      </w:r>
      <w:r w:rsidR="00566F89">
        <w:t>directly in our case</w:t>
      </w:r>
      <w:r w:rsidR="003F54AD">
        <w:t>,</w:t>
      </w:r>
      <w:r w:rsidR="00566F89">
        <w:t xml:space="preserve"> as</w:t>
      </w:r>
      <w:r w:rsidRPr="005E6070">
        <w:t xml:space="preserve"> NAPLAN data is available</w:t>
      </w:r>
      <w:r>
        <w:t xml:space="preserve"> only</w:t>
      </w:r>
      <w:r w:rsidRPr="005E6070">
        <w:t xml:space="preserve"> from 2008, providing </w:t>
      </w:r>
      <w:r>
        <w:t>just one</w:t>
      </w:r>
      <w:r w:rsidRPr="005E6070">
        <w:t xml:space="preserve"> pre-treatment </w:t>
      </w:r>
      <w:r w:rsidR="003F54AD">
        <w:t>p</w:t>
      </w:r>
      <w:r w:rsidR="00BE5188">
        <w:t>eriod</w:t>
      </w:r>
      <w:r w:rsidR="003F54AD">
        <w:t xml:space="preserve">; nor are there other sources of </w:t>
      </w:r>
      <w:r w:rsidR="00E35E32">
        <w:t xml:space="preserve">comparable </w:t>
      </w:r>
      <w:r w:rsidR="00E35E32" w:rsidRPr="005E6070">
        <w:t xml:space="preserve">nationally standardized data </w:t>
      </w:r>
      <w:r w:rsidR="00E35E32">
        <w:t xml:space="preserve">on Indigenous school attendance or participation </w:t>
      </w:r>
      <w:r w:rsidR="003F54AD">
        <w:t xml:space="preserve">in earlier years </w:t>
      </w:r>
      <w:r w:rsidR="00E35E32">
        <w:t>that we are aware of</w:t>
      </w:r>
      <w:r w:rsidRPr="005E6070">
        <w:t xml:space="preserve">. </w:t>
      </w:r>
    </w:p>
    <w:p w14:paraId="6D3A826E" w14:textId="5A6DBE2C" w:rsidR="005E6070" w:rsidRPr="00F9009D" w:rsidRDefault="00196DFC" w:rsidP="003F54AD">
      <w:pPr>
        <w:spacing w:after="120" w:line="360" w:lineRule="auto"/>
        <w:ind w:firstLine="204"/>
        <w:jc w:val="both"/>
      </w:pPr>
      <w:r>
        <w:lastRenderedPageBreak/>
        <w:t xml:space="preserve">There </w:t>
      </w:r>
      <w:proofErr w:type="gramStart"/>
      <w:r w:rsidR="003F54AD">
        <w:t>is</w:t>
      </w:r>
      <w:r w:rsidR="00E35E32">
        <w:t>,</w:t>
      </w:r>
      <w:r>
        <w:t xml:space="preserve"> </w:t>
      </w:r>
      <w:r w:rsidR="00E35E32">
        <w:t xml:space="preserve">however, </w:t>
      </w:r>
      <w:r w:rsidR="00BE5188">
        <w:t xml:space="preserve">good </w:t>
      </w:r>
      <w:r w:rsidR="00E35E32">
        <w:t>reasons</w:t>
      </w:r>
      <w:proofErr w:type="gramEnd"/>
      <w:r>
        <w:t xml:space="preserve"> </w:t>
      </w:r>
      <w:r w:rsidR="00BE5188">
        <w:t>to believe</w:t>
      </w:r>
      <w:r>
        <w:t xml:space="preserve"> </w:t>
      </w:r>
      <w:r w:rsidR="003F54AD">
        <w:t xml:space="preserve">that </w:t>
      </w:r>
      <w:r>
        <w:t xml:space="preserve">the sharp increase in </w:t>
      </w:r>
      <w:r w:rsidRPr="00196DFC">
        <w:t xml:space="preserve">participation </w:t>
      </w:r>
      <w:r>
        <w:t xml:space="preserve">in 2009 </w:t>
      </w:r>
      <w:r w:rsidR="008B7F88">
        <w:t xml:space="preserve">does not </w:t>
      </w:r>
      <w:r w:rsidRPr="00196DFC">
        <w:t>continue a rising trend from previous years</w:t>
      </w:r>
      <w:r w:rsidR="00E35E32">
        <w:t>.</w:t>
      </w:r>
      <w:r w:rsidR="002E4D22">
        <w:rPr>
          <w:rStyle w:val="FootnoteReference"/>
        </w:rPr>
        <w:footnoteReference w:id="15"/>
      </w:r>
      <w:r w:rsidR="00E35E32">
        <w:t xml:space="preserve"> T</w:t>
      </w:r>
      <w:r>
        <w:t xml:space="preserve">he implementation of the </w:t>
      </w:r>
      <w:r w:rsidRPr="00196DFC">
        <w:t xml:space="preserve">NTER </w:t>
      </w:r>
      <w:r w:rsidR="008B7F88">
        <w:t>in 2008 was</w:t>
      </w:r>
      <w:r w:rsidR="001F3A4D">
        <w:t xml:space="preserve"> </w:t>
      </w:r>
      <w:r w:rsidR="003F54AD">
        <w:t>f</w:t>
      </w:r>
      <w:r w:rsidR="001F3A4D">
        <w:t>ramed as</w:t>
      </w:r>
      <w:r w:rsidR="008B7F88">
        <w:t xml:space="preserve"> a response to </w:t>
      </w:r>
      <w:r w:rsidR="001F3A4D">
        <w:t xml:space="preserve">widespread </w:t>
      </w:r>
      <w:r w:rsidR="008B7F88">
        <w:t>concern for the welfare of Indigenous children in the Northern Territory, including concern that school-age children were not attending school regularly. H</w:t>
      </w:r>
      <w:r w:rsidR="00E35E32">
        <w:t>a</w:t>
      </w:r>
      <w:r w:rsidRPr="00196DFC">
        <w:t xml:space="preserve">d </w:t>
      </w:r>
      <w:r w:rsidR="00E35E32">
        <w:t xml:space="preserve">school </w:t>
      </w:r>
      <w:r>
        <w:t>participation</w:t>
      </w:r>
      <w:r w:rsidR="00E35E32">
        <w:t xml:space="preserve"> </w:t>
      </w:r>
      <w:r>
        <w:t xml:space="preserve">been </w:t>
      </w:r>
      <w:r w:rsidR="00E35E32">
        <w:t>improv</w:t>
      </w:r>
      <w:r>
        <w:t xml:space="preserve">ing </w:t>
      </w:r>
      <w:r w:rsidRPr="00196DFC">
        <w:t xml:space="preserve">in the period </w:t>
      </w:r>
      <w:r>
        <w:t xml:space="preserve">before 2008 </w:t>
      </w:r>
      <w:r w:rsidR="00BE5188">
        <w:t>it is reasonable to assume</w:t>
      </w:r>
      <w:r w:rsidR="003F54AD">
        <w:t xml:space="preserve"> that</w:t>
      </w:r>
      <w:r w:rsidR="008B7F88">
        <w:t xml:space="preserve"> </w:t>
      </w:r>
      <w:r w:rsidR="00BE5188">
        <w:t xml:space="preserve">this </w:t>
      </w:r>
      <w:r w:rsidR="008B7F88">
        <w:t>would have been remarked upon at the time</w:t>
      </w:r>
      <w:r w:rsidR="00BE5188">
        <w:t xml:space="preserve"> by opponents of the NTER</w:t>
      </w:r>
      <w:r w:rsidR="003F54AD">
        <w:t xml:space="preserve">. </w:t>
      </w:r>
      <w:r w:rsidR="00BE5188">
        <w:t xml:space="preserve">On the contrary, </w:t>
      </w:r>
      <w:r w:rsidR="0061119E">
        <w:t>historical</w:t>
      </w:r>
      <w:r w:rsidR="00BE5188">
        <w:t xml:space="preserve"> evidence suggests that</w:t>
      </w:r>
      <w:r w:rsidR="0061119E">
        <w:t xml:space="preserve"> the NTER</w:t>
      </w:r>
      <w:r w:rsidR="003F54AD">
        <w:t>’s</w:t>
      </w:r>
      <w:r w:rsidR="00BE5188">
        <w:t xml:space="preserve"> </w:t>
      </w:r>
      <w:r w:rsidR="0061119E">
        <w:t xml:space="preserve">initial support </w:t>
      </w:r>
      <w:r w:rsidR="003F54AD">
        <w:t xml:space="preserve">was </w:t>
      </w:r>
      <w:r w:rsidR="0061119E">
        <w:t>based on the perception of a cris</w:t>
      </w:r>
      <w:r w:rsidR="003F54AD">
        <w:t>i</w:t>
      </w:r>
      <w:r w:rsidR="0061119E">
        <w:t>s in the N</w:t>
      </w:r>
      <w:r w:rsidR="003F54AD">
        <w:t xml:space="preserve">orthern </w:t>
      </w:r>
      <w:r w:rsidR="0061119E">
        <w:t>T</w:t>
      </w:r>
      <w:r w:rsidR="003F54AD">
        <w:t>erritory</w:t>
      </w:r>
      <w:r w:rsidR="0061119E">
        <w:t xml:space="preserve"> (Wild and Anderson, 2007; </w:t>
      </w:r>
      <w:proofErr w:type="spellStart"/>
      <w:r w:rsidR="00CD4545">
        <w:t>Toohey</w:t>
      </w:r>
      <w:proofErr w:type="spellEnd"/>
      <w:r w:rsidR="00CD4545">
        <w:t xml:space="preserve">, 2008; </w:t>
      </w:r>
      <w:r w:rsidR="0061119E">
        <w:t>Broome, 2010, Chapter 14).</w:t>
      </w:r>
      <w:r w:rsidR="003F54AD">
        <w:rPr>
          <w:rStyle w:val="FootnoteReference"/>
        </w:rPr>
        <w:footnoteReference w:id="16"/>
      </w:r>
      <w:r w:rsidR="001F3A4D">
        <w:t xml:space="preserve"> </w:t>
      </w:r>
    </w:p>
    <w:p w14:paraId="3B007E2E" w14:textId="0AB43D85" w:rsidR="00BF62D6" w:rsidRDefault="00BF62D6" w:rsidP="003F54AD">
      <w:pPr>
        <w:spacing w:after="240"/>
        <w:ind w:firstLine="181"/>
        <w:contextualSpacing/>
      </w:pPr>
    </w:p>
    <w:p w14:paraId="1CF58F91" w14:textId="77777777" w:rsidR="007C67F9" w:rsidRDefault="007C67F9" w:rsidP="007C67F9">
      <w:pPr>
        <w:pStyle w:val="Heading1"/>
      </w:pPr>
      <w:r>
        <w:t>6. Conclusion</w:t>
      </w:r>
    </w:p>
    <w:p w14:paraId="6B87F678" w14:textId="77777777" w:rsidR="003F54AD" w:rsidRDefault="007C67F9" w:rsidP="003F54AD">
      <w:pPr>
        <w:spacing w:after="120" w:line="360" w:lineRule="auto"/>
        <w:ind w:right="17" w:firstLine="204"/>
        <w:jc w:val="both"/>
      </w:pPr>
      <w:r w:rsidRPr="00F9009D">
        <w:t>Australia's School Enrolment and Attendance through Welfare Reform Measure (SEAM), implemented in 2009 against the backdrop of the Northern Territory Emergency Response (NTER)</w:t>
      </w:r>
      <w:r w:rsidR="00A91414">
        <w:t>, aimed</w:t>
      </w:r>
      <w:r w:rsidRPr="00F9009D">
        <w:t xml:space="preserve"> to raise school attendance rates among Indigenous children in the Northern Territory </w:t>
      </w:r>
      <w:r w:rsidR="00A91414">
        <w:t xml:space="preserve">by threatening to withhold welfare payments from parents who failed to send their children to school regularly. </w:t>
      </w:r>
      <w:r w:rsidR="00E8318E">
        <w:t xml:space="preserve">The </w:t>
      </w:r>
      <w:r w:rsidR="001F3A4D">
        <w:t xml:space="preserve">official </w:t>
      </w:r>
      <w:r w:rsidR="00E8318E">
        <w:t xml:space="preserve">target population was narrowly defined but the </w:t>
      </w:r>
      <w:r w:rsidR="00DE26D5">
        <w:t>circumstances</w:t>
      </w:r>
      <w:r w:rsidR="00E8318E">
        <w:t xml:space="preserve"> in which </w:t>
      </w:r>
      <w:r w:rsidR="00DE26D5">
        <w:t>SEAM</w:t>
      </w:r>
      <w:r w:rsidR="00E8318E">
        <w:t xml:space="preserve"> was implemented—</w:t>
      </w:r>
      <w:r w:rsidR="00C848C2">
        <w:t>a period of increased social control of Indigenous families,</w:t>
      </w:r>
      <w:r w:rsidRPr="00F9009D">
        <w:t xml:space="preserve"> the temporary suspension of the Racial Discrimination Act, </w:t>
      </w:r>
      <w:r>
        <w:t>and</w:t>
      </w:r>
      <w:r w:rsidRPr="00F9009D">
        <w:t xml:space="preserve"> the troubled history of race relations in Australia</w:t>
      </w:r>
      <w:r w:rsidR="00DE26D5">
        <w:t>—</w:t>
      </w:r>
      <w:r>
        <w:t xml:space="preserve">all contributed to creating a climate in which Indigenous </w:t>
      </w:r>
      <w:r w:rsidR="00C848C2">
        <w:t>families in</w:t>
      </w:r>
      <w:r>
        <w:t xml:space="preserve"> the Northern Territory came to believe</w:t>
      </w:r>
      <w:r w:rsidR="00DE26D5">
        <w:t xml:space="preserve"> in 2009, the first year SEAM was implemented,</w:t>
      </w:r>
      <w:r w:rsidR="00A91414">
        <w:t xml:space="preserve"> </w:t>
      </w:r>
      <w:r>
        <w:t xml:space="preserve">that </w:t>
      </w:r>
      <w:r w:rsidRPr="00F9009D">
        <w:lastRenderedPageBreak/>
        <w:t xml:space="preserve">truancy </w:t>
      </w:r>
      <w:r w:rsidR="002E4D22">
        <w:t xml:space="preserve">of children in the </w:t>
      </w:r>
      <w:r w:rsidR="00DE26D5">
        <w:t>family</w:t>
      </w:r>
      <w:r w:rsidR="002E4D22">
        <w:t xml:space="preserve"> immediately jeopardized its</w:t>
      </w:r>
      <w:r w:rsidR="00DE26D5">
        <w:t xml:space="preserve"> </w:t>
      </w:r>
      <w:r w:rsidRPr="00F9009D">
        <w:t xml:space="preserve">welfare </w:t>
      </w:r>
      <w:r w:rsidR="00DE26D5">
        <w:t>support</w:t>
      </w:r>
      <w:r>
        <w:t xml:space="preserve">. </w:t>
      </w:r>
      <w:r w:rsidR="00D425A0">
        <w:t xml:space="preserve">This </w:t>
      </w:r>
      <w:r w:rsidR="002E4D22">
        <w:t xml:space="preserve">had an immediate positive effect on attendance, not only </w:t>
      </w:r>
      <w:r w:rsidR="003F54AD">
        <w:t>o</w:t>
      </w:r>
      <w:r w:rsidR="002E4D22">
        <w:t xml:space="preserve">n the fourteen schools formally targeted by SEAM but among the entire Indigenous population of the Northern Territory.  </w:t>
      </w:r>
      <w:r w:rsidR="00070F53">
        <w:t>However, this effect was short-lived. A</w:t>
      </w:r>
      <w:r w:rsidR="00DE26D5" w:rsidRPr="00DE26D5">
        <w:t xml:space="preserve">dministrators </w:t>
      </w:r>
      <w:r w:rsidR="002E4D22">
        <w:t>did not actually withho</w:t>
      </w:r>
      <w:r w:rsidR="00DE26D5" w:rsidRPr="00DE26D5">
        <w:t xml:space="preserve">ld welfare payments from </w:t>
      </w:r>
      <w:r w:rsidR="00070F53">
        <w:t xml:space="preserve">families </w:t>
      </w:r>
      <w:r w:rsidR="00C848C2">
        <w:t>with</w:t>
      </w:r>
      <w:r w:rsidR="00070F53">
        <w:t xml:space="preserve"> </w:t>
      </w:r>
      <w:r w:rsidR="00DE26D5" w:rsidRPr="00DE26D5">
        <w:t>truant</w:t>
      </w:r>
      <w:r w:rsidR="00C848C2">
        <w:t xml:space="preserve"> children</w:t>
      </w:r>
      <w:r w:rsidR="00D425A0">
        <w:t xml:space="preserve">, </w:t>
      </w:r>
      <w:r w:rsidR="002E4D22">
        <w:t xml:space="preserve">and this quickly </w:t>
      </w:r>
      <w:r w:rsidR="00D425A0">
        <w:t>undermined</w:t>
      </w:r>
      <w:r w:rsidR="00DE26D5" w:rsidRPr="00DE26D5">
        <w:t xml:space="preserve"> the credibility of the threat</w:t>
      </w:r>
      <w:r w:rsidR="002E4D22">
        <w:t xml:space="preserve">, leading to a decline </w:t>
      </w:r>
      <w:r w:rsidR="00D425A0">
        <w:t xml:space="preserve">in </w:t>
      </w:r>
      <w:r w:rsidR="00070F53">
        <w:t xml:space="preserve">attendance </w:t>
      </w:r>
      <w:r w:rsidR="002E4D22">
        <w:t xml:space="preserve">in subsequent years. </w:t>
      </w:r>
    </w:p>
    <w:p w14:paraId="0DA5B0C6" w14:textId="77777777" w:rsidR="003F54AD" w:rsidRDefault="00070F53" w:rsidP="003F54AD">
      <w:pPr>
        <w:spacing w:after="120" w:line="360" w:lineRule="auto"/>
        <w:ind w:right="17" w:firstLine="204"/>
        <w:jc w:val="both"/>
      </w:pPr>
      <w:r>
        <w:t>We quantify these developments through a difference-in-difference regression analysis of</w:t>
      </w:r>
      <w:r w:rsidR="00F50D57">
        <w:t xml:space="preserve"> </w:t>
      </w:r>
      <w:r w:rsidR="00422815" w:rsidRPr="00F9009D">
        <w:t xml:space="preserve">participation rates </w:t>
      </w:r>
      <w:r w:rsidR="00422815">
        <w:t xml:space="preserve">in </w:t>
      </w:r>
      <w:r w:rsidR="00F50D57">
        <w:t>NAPLAN</w:t>
      </w:r>
      <w:r w:rsidR="00F50D57" w:rsidRPr="00F9009D">
        <w:t xml:space="preserve"> </w:t>
      </w:r>
      <w:r w:rsidR="00422815" w:rsidRPr="00F9009D">
        <w:t>reading and numeracy</w:t>
      </w:r>
      <w:r w:rsidR="00422815">
        <w:t xml:space="preserve"> </w:t>
      </w:r>
      <w:r w:rsidR="00F50D57">
        <w:t>test</w:t>
      </w:r>
      <w:r w:rsidR="00422815">
        <w:t>s</w:t>
      </w:r>
      <w:r w:rsidR="00422815" w:rsidRPr="00F9009D">
        <w:t xml:space="preserve"> in grades 3, 5, 7 and 9</w:t>
      </w:r>
      <w:r w:rsidR="004F0DD2">
        <w:t>, compar</w:t>
      </w:r>
      <w:r>
        <w:t>ing</w:t>
      </w:r>
      <w:r w:rsidR="004F0DD2">
        <w:t xml:space="preserve"> </w:t>
      </w:r>
      <w:r w:rsidR="00422815">
        <w:t xml:space="preserve">variation in </w:t>
      </w:r>
      <w:r w:rsidR="00D425A0">
        <w:t>these</w:t>
      </w:r>
      <w:r w:rsidR="00422815">
        <w:t xml:space="preserve"> rates </w:t>
      </w:r>
      <w:r w:rsidR="002C1D5C">
        <w:t>in 2008-2012</w:t>
      </w:r>
      <w:r w:rsidR="00422815">
        <w:t xml:space="preserve"> among the Indigenous population of the Northern Territory</w:t>
      </w:r>
      <w:r w:rsidR="00D425A0">
        <w:t>,</w:t>
      </w:r>
      <w:r w:rsidR="00422815">
        <w:t xml:space="preserve"> to their variation among the Indigenous populations of Australia's other states and territories</w:t>
      </w:r>
      <w:r w:rsidR="004F0DD2">
        <w:t xml:space="preserve">. </w:t>
      </w:r>
      <w:r>
        <w:t>We use NAPLAN participation rates</w:t>
      </w:r>
      <w:r w:rsidR="002E4D22">
        <w:t xml:space="preserve"> as a proxy for school attendance</w:t>
      </w:r>
      <w:r>
        <w:t xml:space="preserve"> because they </w:t>
      </w:r>
      <w:r w:rsidR="002E4D22">
        <w:t>reflect students’ active participation in education</w:t>
      </w:r>
      <w:r>
        <w:t>; and because they are available separately for Indigenous children where attendance data are not</w:t>
      </w:r>
      <w:r w:rsidR="002E4D22">
        <w:t>.</w:t>
      </w:r>
      <w:r>
        <w:t xml:space="preserve"> </w:t>
      </w:r>
    </w:p>
    <w:p w14:paraId="726D3B71" w14:textId="427812BD" w:rsidR="003F54AD" w:rsidRDefault="00070F53" w:rsidP="00FA6B76">
      <w:pPr>
        <w:spacing w:after="120" w:line="360" w:lineRule="auto"/>
        <w:ind w:right="17" w:firstLine="204"/>
        <w:jc w:val="both"/>
      </w:pPr>
      <w:r>
        <w:t xml:space="preserve">Our analysis reveals that </w:t>
      </w:r>
      <w:r w:rsidR="007C67F9" w:rsidRPr="00F9009D">
        <w:t xml:space="preserve">in 2009, the first year in which SEAM was implemented, test participation </w:t>
      </w:r>
      <w:r w:rsidR="00CF1EFF">
        <w:t xml:space="preserve">in </w:t>
      </w:r>
      <w:r w:rsidR="007C67F9">
        <w:t>the Northern Territory</w:t>
      </w:r>
      <w:r w:rsidR="00CF1EFF">
        <w:t xml:space="preserve"> increased by</w:t>
      </w:r>
      <w:r w:rsidR="007C67F9" w:rsidRPr="00F9009D">
        <w:t xml:space="preserve"> </w:t>
      </w:r>
      <w:r w:rsidR="00450A5D">
        <w:t>18</w:t>
      </w:r>
      <w:r w:rsidR="007C67F9">
        <w:t>.</w:t>
      </w:r>
      <w:r w:rsidR="00450A5D">
        <w:t>3</w:t>
      </w:r>
      <w:r w:rsidR="007C67F9" w:rsidRPr="00F9009D">
        <w:t xml:space="preserve"> percentage points</w:t>
      </w:r>
      <w:r w:rsidR="007C67F9">
        <w:t xml:space="preserve">, </w:t>
      </w:r>
      <w:r w:rsidR="00422815">
        <w:t>beyond</w:t>
      </w:r>
      <w:r w:rsidR="007C67F9" w:rsidRPr="00F9009D">
        <w:t xml:space="preserve"> the average </w:t>
      </w:r>
      <w:r w:rsidR="007C67F9">
        <w:t xml:space="preserve">change in participation </w:t>
      </w:r>
      <w:r w:rsidR="00CF1EFF">
        <w:t xml:space="preserve">rates </w:t>
      </w:r>
      <w:r w:rsidR="007C67F9">
        <w:t>among</w:t>
      </w:r>
      <w:r w:rsidR="007C67F9" w:rsidRPr="00F9009D">
        <w:t xml:space="preserve"> </w:t>
      </w:r>
      <w:r w:rsidR="007C67F9">
        <w:t>the</w:t>
      </w:r>
      <w:r w:rsidR="007C67F9" w:rsidRPr="00F9009D">
        <w:t xml:space="preserve"> Indigenous populations</w:t>
      </w:r>
      <w:r w:rsidR="007C67F9">
        <w:t xml:space="preserve"> of Australia’s other states and territories</w:t>
      </w:r>
      <w:r w:rsidR="00CF1EFF">
        <w:t xml:space="preserve">, averaged over our four grade levels and two knowledge domains. </w:t>
      </w:r>
      <w:r w:rsidR="007C67F9">
        <w:t>Moreover, t</w:t>
      </w:r>
      <w:r w:rsidR="007C67F9" w:rsidRPr="00F9009D">
        <w:t xml:space="preserve">his rise in participation rates </w:t>
      </w:r>
      <w:r w:rsidR="003F54AD">
        <w:t xml:space="preserve">was not accompanied by a reduction in </w:t>
      </w:r>
      <w:r w:rsidR="00C848C2">
        <w:t xml:space="preserve">overall </w:t>
      </w:r>
      <w:r w:rsidR="00A91414">
        <w:t>pass rates</w:t>
      </w:r>
      <w:r w:rsidR="00C848C2">
        <w:t xml:space="preserve"> among Indigenous students</w:t>
      </w:r>
      <w:r w:rsidR="007C67F9" w:rsidRPr="00F9009D">
        <w:t xml:space="preserve">, suggesting that the </w:t>
      </w:r>
      <w:r w:rsidR="00422815">
        <w:t xml:space="preserve">increase in participation rates we observe reflects a similar increase in school attendance. </w:t>
      </w:r>
      <w:r w:rsidR="002C1D5C">
        <w:t xml:space="preserve">As we have only one annual observation preceding </w:t>
      </w:r>
      <w:r w:rsidR="00C848C2">
        <w:t>2009</w:t>
      </w:r>
      <w:r w:rsidR="002C1D5C">
        <w:t>, w</w:t>
      </w:r>
      <w:r w:rsidR="002C1D5C" w:rsidRPr="00F9009D">
        <w:t xml:space="preserve">e </w:t>
      </w:r>
      <w:r w:rsidR="002C1D5C">
        <w:t xml:space="preserve">cannot </w:t>
      </w:r>
      <w:r w:rsidR="00D87F7B">
        <w:t>evaluate</w:t>
      </w:r>
      <w:r w:rsidR="00C848C2">
        <w:t xml:space="preserve"> </w:t>
      </w:r>
      <w:r w:rsidR="00D87F7B">
        <w:t>whether participation rates in the NT and elsewhere followed similar time trends prior to 2009</w:t>
      </w:r>
      <w:r w:rsidR="00C848C2">
        <w:t xml:space="preserve">. </w:t>
      </w:r>
      <w:r w:rsidR="003F54AD">
        <w:t>An</w:t>
      </w:r>
      <w:r w:rsidR="002E0617">
        <w:t xml:space="preserve"> obvious concern is that the increase observed in 2009 was simply the continuation of an earlier upward trend. </w:t>
      </w:r>
      <w:r w:rsidR="00C848C2">
        <w:t>However,</w:t>
      </w:r>
      <w:r w:rsidR="002C1D5C">
        <w:t xml:space="preserve"> the implementation of the NTER in 2008</w:t>
      </w:r>
      <w:r w:rsidR="003F54AD">
        <w:t xml:space="preserve"> amidst grave concern for the welfare of Indigenous children in the Northern Territory,</w:t>
      </w:r>
      <w:r w:rsidR="002C1D5C">
        <w:t xml:space="preserve"> suggests that the gains observed between </w:t>
      </w:r>
      <w:r w:rsidR="002C1D5C">
        <w:lastRenderedPageBreak/>
        <w:t xml:space="preserve">2008 and 2009 were not </w:t>
      </w:r>
      <w:r w:rsidR="003F54AD">
        <w:t>the</w:t>
      </w:r>
      <w:r w:rsidR="002C1D5C">
        <w:t xml:space="preserve"> continuation of an </w:t>
      </w:r>
      <w:r w:rsidR="003F54AD">
        <w:t xml:space="preserve">earlier </w:t>
      </w:r>
      <w:r w:rsidR="002C1D5C">
        <w:t xml:space="preserve">trend of </w:t>
      </w:r>
      <w:r>
        <w:t>improved</w:t>
      </w:r>
      <w:r w:rsidR="002C1D5C">
        <w:t xml:space="preserve"> attendance</w:t>
      </w:r>
      <w:r w:rsidR="003F54AD">
        <w:t xml:space="preserve">. If anything, it seems </w:t>
      </w:r>
      <w:r w:rsidR="00D87F7B">
        <w:t xml:space="preserve">more reasonable to </w:t>
      </w:r>
      <w:r w:rsidR="00FA6B76">
        <w:t>consider the possibility of a</w:t>
      </w:r>
      <w:r w:rsidR="002E0617">
        <w:t xml:space="preserve"> </w:t>
      </w:r>
      <w:r w:rsidR="00D87F7B">
        <w:t xml:space="preserve">declining </w:t>
      </w:r>
      <w:r w:rsidR="00FA6B76">
        <w:t xml:space="preserve">trend in </w:t>
      </w:r>
      <w:r w:rsidR="00D87F7B">
        <w:t>participation rate</w:t>
      </w:r>
      <w:r w:rsidR="00FA6B76">
        <w:t>s</w:t>
      </w:r>
      <w:r w:rsidR="00D87F7B">
        <w:t xml:space="preserve"> in the N</w:t>
      </w:r>
      <w:r w:rsidR="00FA6B76">
        <w:t xml:space="preserve">orthern </w:t>
      </w:r>
      <w:r w:rsidR="00D87F7B">
        <w:t>T</w:t>
      </w:r>
      <w:r w:rsidR="00FA6B76">
        <w:t>erritory</w:t>
      </w:r>
      <w:r w:rsidR="00D87F7B">
        <w:t xml:space="preserve"> relative to other states and territories</w:t>
      </w:r>
      <w:r w:rsidR="00FA6B76">
        <w:t xml:space="preserve"> in the preceding period. This would imply that the effect in 2009 of the threat to withhold welfare was actually stronger than our estimates indicate. </w:t>
      </w:r>
    </w:p>
    <w:p w14:paraId="673B6320" w14:textId="75F129FF" w:rsidR="003F54AD" w:rsidRDefault="002C1D5C" w:rsidP="00FA6B76">
      <w:pPr>
        <w:spacing w:after="120" w:line="360" w:lineRule="auto"/>
        <w:ind w:right="17" w:firstLine="204"/>
        <w:jc w:val="both"/>
      </w:pPr>
      <w:r>
        <w:t>T</w:t>
      </w:r>
      <w:r w:rsidR="007C67F9">
        <w:t>he</w:t>
      </w:r>
      <w:r w:rsidR="003B0793">
        <w:t xml:space="preserve"> gains in Indigenous student participation </w:t>
      </w:r>
      <w:r w:rsidR="00FA6B76">
        <w:t xml:space="preserve">in the Northern territory </w:t>
      </w:r>
      <w:r w:rsidR="003B0793">
        <w:t xml:space="preserve">observed in 2009 </w:t>
      </w:r>
      <w:r w:rsidR="007C67F9">
        <w:t>were not sustained</w:t>
      </w:r>
      <w:r>
        <w:t xml:space="preserve"> in subsequent years, a</w:t>
      </w:r>
      <w:r w:rsidR="004F0DD2">
        <w:t>s t</w:t>
      </w:r>
      <w:r w:rsidR="007C67F9" w:rsidRPr="00F9009D">
        <w:t xml:space="preserve">he threat </w:t>
      </w:r>
      <w:r w:rsidR="00070F53">
        <w:t>to</w:t>
      </w:r>
      <w:r w:rsidR="007C67F9" w:rsidRPr="00F9009D">
        <w:t xml:space="preserve"> withhold welfare payments </w:t>
      </w:r>
      <w:r w:rsidR="00070F53">
        <w:t>from truant families proved hollow</w:t>
      </w:r>
      <w:r w:rsidR="003B0793">
        <w:t>.</w:t>
      </w:r>
      <w:r>
        <w:t xml:space="preserve"> </w:t>
      </w:r>
      <w:r w:rsidR="003B0793">
        <w:t>P</w:t>
      </w:r>
      <w:r w:rsidR="003B0793" w:rsidRPr="00F9009D">
        <w:t xml:space="preserve">articipation </w:t>
      </w:r>
      <w:r w:rsidR="007C67F9" w:rsidRPr="00F9009D">
        <w:t>rates</w:t>
      </w:r>
      <w:r w:rsidR="00FA6B76">
        <w:t xml:space="preserve"> among</w:t>
      </w:r>
      <w:r w:rsidR="007C67F9">
        <w:t xml:space="preserve"> Indigenous </w:t>
      </w:r>
      <w:r w:rsidR="003B0793">
        <w:t>students in</w:t>
      </w:r>
      <w:r w:rsidR="007C67F9">
        <w:t xml:space="preserve"> the Northern Territory </w:t>
      </w:r>
      <w:r w:rsidR="007C67F9" w:rsidRPr="00F9009D">
        <w:t>fell</w:t>
      </w:r>
      <w:r w:rsidR="004F0DD2">
        <w:t xml:space="preserve"> significantly</w:t>
      </w:r>
      <w:r w:rsidR="003B0793">
        <w:t xml:space="preserve"> after 2009</w:t>
      </w:r>
      <w:r w:rsidR="007C67F9">
        <w:t>.</w:t>
      </w:r>
      <w:r w:rsidR="007C67F9" w:rsidRPr="00F9009D">
        <w:t xml:space="preserve"> </w:t>
      </w:r>
      <w:r w:rsidR="00D23CBA">
        <w:t>Our difference-in-difference estimat</w:t>
      </w:r>
      <w:r w:rsidR="003233B1">
        <w:t>es</w:t>
      </w:r>
      <w:r w:rsidR="00D23CBA">
        <w:t xml:space="preserve"> indicate that m</w:t>
      </w:r>
      <w:r w:rsidR="007C67F9">
        <w:t xml:space="preserve">ore than half the gain dissipated in 2010, and by 2012 participation rates were </w:t>
      </w:r>
      <w:r w:rsidR="00450A5D">
        <w:t xml:space="preserve">only </w:t>
      </w:r>
      <w:r w:rsidR="007C67F9">
        <w:t>8.</w:t>
      </w:r>
      <w:r w:rsidR="00450A5D">
        <w:t>3</w:t>
      </w:r>
      <w:r w:rsidR="007C67F9">
        <w:t xml:space="preserve"> percentage points </w:t>
      </w:r>
      <w:r w:rsidR="007C67F9" w:rsidRPr="00F9009D">
        <w:t xml:space="preserve">above pre-SEAM </w:t>
      </w:r>
      <w:r w:rsidR="007C67F9">
        <w:t>levels</w:t>
      </w:r>
      <w:r w:rsidR="003233B1">
        <w:t>—</w:t>
      </w:r>
      <w:r w:rsidR="007C67F9">
        <w:t>much reduced</w:t>
      </w:r>
      <w:r w:rsidR="003233B1">
        <w:t>, but</w:t>
      </w:r>
      <w:r w:rsidR="007C67F9">
        <w:t xml:space="preserve"> still</w:t>
      </w:r>
      <w:r w:rsidR="004F0DD2">
        <w:t xml:space="preserve"> a</w:t>
      </w:r>
      <w:r w:rsidR="007C67F9">
        <w:t xml:space="preserve"> significant</w:t>
      </w:r>
      <w:r w:rsidR="004F0DD2">
        <w:t xml:space="preserve"> increase</w:t>
      </w:r>
      <w:r w:rsidR="007C67F9">
        <w:t xml:space="preserve">. </w:t>
      </w:r>
    </w:p>
    <w:p w14:paraId="684E76BA" w14:textId="022AE664" w:rsidR="003F54AD" w:rsidRDefault="00D425A0" w:rsidP="00FA6B76">
      <w:pPr>
        <w:spacing w:after="120" w:line="360" w:lineRule="auto"/>
        <w:ind w:right="17" w:firstLine="204"/>
        <w:jc w:val="both"/>
      </w:pPr>
      <w:r>
        <w:t xml:space="preserve">The </w:t>
      </w:r>
      <w:r w:rsidR="002C1D5C">
        <w:t xml:space="preserve">gains achieved through the joint implementation of the NTER and SEAM </w:t>
      </w:r>
      <w:proofErr w:type="gramStart"/>
      <w:r w:rsidR="002C1D5C">
        <w:t>are</w:t>
      </w:r>
      <w:proofErr w:type="gramEnd"/>
      <w:r w:rsidR="002C1D5C">
        <w:t xml:space="preserve"> not easily replicable elsewhere</w:t>
      </w:r>
      <w:r w:rsidR="003233B1">
        <w:t xml:space="preserve">. They entailed </w:t>
      </w:r>
      <w:r>
        <w:t>extreme measures</w:t>
      </w:r>
      <w:r w:rsidR="003233B1">
        <w:t xml:space="preserve">, including </w:t>
      </w:r>
      <w:r>
        <w:t xml:space="preserve">an initial military presence and the temporary suspension of anti-discrimination laws, </w:t>
      </w:r>
      <w:r w:rsidR="003233B1">
        <w:t>which were made possible by unique circumstances and, constitutionally, could not have been implemented in an Australian state.</w:t>
      </w:r>
      <w:r w:rsidR="002C1D5C">
        <w:t xml:space="preserve"> </w:t>
      </w:r>
      <w:r>
        <w:t xml:space="preserve">Yet </w:t>
      </w:r>
      <w:r w:rsidR="003B0793">
        <w:t xml:space="preserve">we believe </w:t>
      </w:r>
      <w:r>
        <w:t xml:space="preserve">there are </w:t>
      </w:r>
      <w:r w:rsidR="003233B1">
        <w:t xml:space="preserve">general </w:t>
      </w:r>
      <w:r>
        <w:t>lessons to be learned</w:t>
      </w:r>
      <w:r w:rsidR="003233B1">
        <w:t xml:space="preserve"> from </w:t>
      </w:r>
      <w:r w:rsidR="003B0793">
        <w:t>this un</w:t>
      </w:r>
      <w:r w:rsidR="00FA6B76">
        <w:t>ique</w:t>
      </w:r>
      <w:r w:rsidR="003B0793">
        <w:t xml:space="preserve"> </w:t>
      </w:r>
      <w:r w:rsidR="00FA6B76">
        <w:t xml:space="preserve">set of </w:t>
      </w:r>
      <w:r w:rsidR="003B0793">
        <w:t xml:space="preserve">policy </w:t>
      </w:r>
      <w:r w:rsidR="00FA6B76">
        <w:t>measures</w:t>
      </w:r>
      <w:r w:rsidR="00155FDA">
        <w:t xml:space="preserve"> about the </w:t>
      </w:r>
      <w:r w:rsidR="00FA6B76">
        <w:t xml:space="preserve">scope for reducing truancy </w:t>
      </w:r>
      <w:r w:rsidR="00155FDA">
        <w:t xml:space="preserve">in disadvantaged populations by threatening to </w:t>
      </w:r>
      <w:r w:rsidR="002E0617">
        <w:t>impose further resource constraints on them</w:t>
      </w:r>
      <w:r w:rsidR="002C1D5C">
        <w:t>.</w:t>
      </w:r>
      <w:r>
        <w:t xml:space="preserve"> </w:t>
      </w:r>
      <w:r w:rsidR="00A96A58">
        <w:t>E</w:t>
      </w:r>
      <w:r>
        <w:t xml:space="preserve">ven with </w:t>
      </w:r>
      <w:r w:rsidR="003233B1">
        <w:t>such</w:t>
      </w:r>
      <w:r w:rsidR="00A96A58">
        <w:t xml:space="preserve"> </w:t>
      </w:r>
      <w:r>
        <w:t>strong measures at its disposal</w:t>
      </w:r>
      <w:r w:rsidR="00A96A58">
        <w:t>,</w:t>
      </w:r>
      <w:r>
        <w:t xml:space="preserve"> the government </w:t>
      </w:r>
      <w:r w:rsidR="003B0793">
        <w:t>achieved</w:t>
      </w:r>
      <w:r>
        <w:t xml:space="preserve"> only </w:t>
      </w:r>
      <w:r w:rsidR="00A96A58">
        <w:t xml:space="preserve">temporary </w:t>
      </w:r>
      <w:r>
        <w:t>success</w:t>
      </w:r>
      <w:r w:rsidR="00A96A58">
        <w:t xml:space="preserve">. </w:t>
      </w:r>
      <w:r w:rsidR="003233B1">
        <w:t>It was able to induce l</w:t>
      </w:r>
      <w:r w:rsidRPr="001D2E46">
        <w:t xml:space="preserve">arge numbers of </w:t>
      </w:r>
      <w:r w:rsidR="003233B1">
        <w:t xml:space="preserve">Indigenous </w:t>
      </w:r>
      <w:r w:rsidRPr="001D2E46">
        <w:t xml:space="preserve">parents </w:t>
      </w:r>
      <w:r>
        <w:t xml:space="preserve">to start </w:t>
      </w:r>
      <w:r w:rsidRPr="001D2E46">
        <w:t>send</w:t>
      </w:r>
      <w:r>
        <w:t>ing</w:t>
      </w:r>
      <w:r w:rsidRPr="001D2E46">
        <w:t xml:space="preserve"> their truant children to school</w:t>
      </w:r>
      <w:r>
        <w:t xml:space="preserve"> in 2009</w:t>
      </w:r>
      <w:r w:rsidR="00FA6B76">
        <w:t>, but could not follow through on the threat, and</w:t>
      </w:r>
      <w:r w:rsidR="00A96A58">
        <w:t xml:space="preserve"> many </w:t>
      </w:r>
      <w:r w:rsidR="003233B1">
        <w:t>did</w:t>
      </w:r>
      <w:r w:rsidR="00A96A58">
        <w:t xml:space="preserve"> not continue </w:t>
      </w:r>
      <w:r w:rsidR="003233B1">
        <w:t xml:space="preserve">to do so </w:t>
      </w:r>
      <w:r w:rsidR="00A96A58">
        <w:t xml:space="preserve">when </w:t>
      </w:r>
      <w:r w:rsidR="00FA6B76">
        <w:t xml:space="preserve">they saw the threat was hollow. </w:t>
      </w:r>
    </w:p>
    <w:p w14:paraId="3882BC16" w14:textId="58D3C500" w:rsidR="00A96A58" w:rsidRDefault="003233B1" w:rsidP="00FA6B76">
      <w:pPr>
        <w:spacing w:after="120" w:line="360" w:lineRule="auto"/>
        <w:ind w:right="17" w:firstLine="204"/>
        <w:jc w:val="both"/>
      </w:pPr>
      <w:r>
        <w:t xml:space="preserve">While the joint </w:t>
      </w:r>
      <w:r w:rsidR="00A96A58">
        <w:t>experience of the NTER and SEAM shows that a</w:t>
      </w:r>
      <w:r w:rsidR="007C67F9" w:rsidRPr="00F9009D">
        <w:t xml:space="preserve"> </w:t>
      </w:r>
      <w:r w:rsidR="007C67F9" w:rsidRPr="00B84873">
        <w:t>credible</w:t>
      </w:r>
      <w:r w:rsidR="007C67F9" w:rsidRPr="00F9009D">
        <w:t xml:space="preserve"> threat to li</w:t>
      </w:r>
      <w:r w:rsidR="004F0DD2">
        <w:t>n</w:t>
      </w:r>
      <w:r w:rsidR="007C67F9" w:rsidRPr="00F9009D">
        <w:t xml:space="preserve">k welfare payments to school attendance can be </w:t>
      </w:r>
      <w:r w:rsidR="007C67F9">
        <w:t>effective</w:t>
      </w:r>
      <w:r w:rsidR="00A91414">
        <w:t xml:space="preserve"> in the </w:t>
      </w:r>
      <w:r w:rsidR="00A91414">
        <w:lastRenderedPageBreak/>
        <w:t>short run</w:t>
      </w:r>
      <w:r>
        <w:t>, it also</w:t>
      </w:r>
      <w:r w:rsidR="004F0DD2">
        <w:t xml:space="preserve"> </w:t>
      </w:r>
      <w:r w:rsidR="007C67F9">
        <w:t>highlight</w:t>
      </w:r>
      <w:r w:rsidR="004F0DD2">
        <w:t>s</w:t>
      </w:r>
      <w:r w:rsidR="007C67F9">
        <w:t xml:space="preserve"> </w:t>
      </w:r>
      <w:r w:rsidR="007C67F9" w:rsidRPr="00F9009D">
        <w:t xml:space="preserve">the difficulty of following through on such </w:t>
      </w:r>
      <w:r w:rsidR="007C67F9">
        <w:t xml:space="preserve">a </w:t>
      </w:r>
      <w:r w:rsidR="007C67F9" w:rsidRPr="00F9009D">
        <w:t xml:space="preserve">threat, even in </w:t>
      </w:r>
      <w:r w:rsidR="00FA6B76">
        <w:t xml:space="preserve">extreme circumstances. </w:t>
      </w:r>
      <w:r>
        <w:t xml:space="preserve">The NTER and SEAM provided a window of opportunity in which to persuade parents of the value of sending their children to the schools available to them. Sustained change </w:t>
      </w:r>
      <w:r w:rsidR="00CA3F45">
        <w:t>m</w:t>
      </w:r>
      <w:r w:rsidR="00A96A58" w:rsidRPr="001D2E46">
        <w:t>ay req</w:t>
      </w:r>
      <w:r w:rsidR="00FA6B76">
        <w:t>uire</w:t>
      </w:r>
      <w:r w:rsidR="00A96A58">
        <w:t xml:space="preserve"> </w:t>
      </w:r>
      <w:r w:rsidR="00A96A58" w:rsidRPr="001D2E46">
        <w:t xml:space="preserve">changes in </w:t>
      </w:r>
      <w:r w:rsidR="00FA6B76">
        <w:t xml:space="preserve">what </w:t>
      </w:r>
      <w:r w:rsidR="00A96A58" w:rsidRPr="001D2E46">
        <w:t>the</w:t>
      </w:r>
      <w:r w:rsidR="00FA6B76">
        <w:t>se</w:t>
      </w:r>
      <w:r w:rsidR="00A96A58" w:rsidRPr="001D2E46">
        <w:t xml:space="preserve"> schools</w:t>
      </w:r>
      <w:r w:rsidR="00FA6B76">
        <w:t xml:space="preserve"> teach and how they teach it; </w:t>
      </w:r>
      <w:r w:rsidR="00A96A58">
        <w:t>a</w:t>
      </w:r>
      <w:r w:rsidR="00A96A58" w:rsidRPr="001D2E46">
        <w:t xml:space="preserve">nd </w:t>
      </w:r>
      <w:r w:rsidR="00A96A58">
        <w:t>better</w:t>
      </w:r>
      <w:r w:rsidR="00A96A58" w:rsidRPr="001D2E46">
        <w:t xml:space="preserve"> employment</w:t>
      </w:r>
      <w:r w:rsidR="00A96A58" w:rsidRPr="000B19E2">
        <w:t xml:space="preserve"> </w:t>
      </w:r>
      <w:r w:rsidR="00FA6B76">
        <w:t>prospect</w:t>
      </w:r>
      <w:r w:rsidR="00A96A58" w:rsidRPr="001D2E46">
        <w:t>s</w:t>
      </w:r>
      <w:r w:rsidR="00A96A58">
        <w:t xml:space="preserve"> for the</w:t>
      </w:r>
      <w:r w:rsidR="00CA3F45">
        <w:t>se</w:t>
      </w:r>
      <w:r w:rsidR="00A96A58">
        <w:t xml:space="preserve"> children</w:t>
      </w:r>
      <w:r w:rsidR="00B7572F">
        <w:t xml:space="preserve"> </w:t>
      </w:r>
      <w:r w:rsidR="00A96A58">
        <w:t xml:space="preserve">when they </w:t>
      </w:r>
      <w:r w:rsidR="00B7572F">
        <w:t>graduate from</w:t>
      </w:r>
      <w:r w:rsidR="00A96A58">
        <w:t xml:space="preserve"> school.</w:t>
      </w:r>
    </w:p>
    <w:p w14:paraId="61B0A089" w14:textId="77777777" w:rsidR="00F93FDF" w:rsidRDefault="00F93FDF" w:rsidP="00A91414">
      <w:pPr>
        <w:spacing w:after="240"/>
        <w:ind w:right="17"/>
        <w:contextualSpacing/>
      </w:pPr>
    </w:p>
    <w:p w14:paraId="0B05C6E1" w14:textId="77777777" w:rsidR="00A65C06" w:rsidRDefault="00A65C06"/>
    <w:p w14:paraId="77AB6F51" w14:textId="6C79C223" w:rsidR="00A65C06" w:rsidRPr="00B33459" w:rsidRDefault="00A65C06" w:rsidP="0048708D">
      <w:pPr>
        <w:pStyle w:val="Contact"/>
        <w:spacing w:after="0"/>
        <w:jc w:val="both"/>
        <w:rPr>
          <w:sz w:val="24"/>
          <w:szCs w:val="24"/>
        </w:rPr>
      </w:pPr>
      <w:r w:rsidRPr="00B33459">
        <w:rPr>
          <w:b/>
          <w:bCs/>
          <w:sz w:val="24"/>
          <w:szCs w:val="24"/>
        </w:rPr>
        <w:t>Acknowledgments</w:t>
      </w:r>
      <w:r>
        <w:rPr>
          <w:b/>
          <w:bCs/>
          <w:sz w:val="24"/>
          <w:szCs w:val="24"/>
        </w:rPr>
        <w:t>:</w:t>
      </w:r>
      <w:r w:rsidRPr="00B33459">
        <w:rPr>
          <w:b/>
          <w:bCs/>
          <w:sz w:val="24"/>
          <w:szCs w:val="24"/>
        </w:rPr>
        <w:t xml:space="preserve"> </w:t>
      </w:r>
      <w:r w:rsidRPr="00B33459">
        <w:rPr>
          <w:sz w:val="24"/>
          <w:szCs w:val="24"/>
        </w:rPr>
        <w:t xml:space="preserve">We thank, without implicating, </w:t>
      </w:r>
      <w:r w:rsidR="00FC3EE8" w:rsidRPr="00B33459">
        <w:rPr>
          <w:sz w:val="24"/>
          <w:szCs w:val="24"/>
        </w:rPr>
        <w:t>for their valuable comments</w:t>
      </w:r>
      <w:r w:rsidR="00FC3EE8">
        <w:rPr>
          <w:sz w:val="24"/>
          <w:szCs w:val="24"/>
        </w:rPr>
        <w:t xml:space="preserve">, </w:t>
      </w:r>
      <w:r w:rsidRPr="00B33459">
        <w:rPr>
          <w:sz w:val="24"/>
          <w:szCs w:val="24"/>
        </w:rPr>
        <w:t xml:space="preserve">Peter </w:t>
      </w:r>
      <w:proofErr w:type="spellStart"/>
      <w:r w:rsidRPr="00B33459">
        <w:rPr>
          <w:sz w:val="24"/>
          <w:szCs w:val="24"/>
        </w:rPr>
        <w:t>Aronow</w:t>
      </w:r>
      <w:proofErr w:type="spellEnd"/>
      <w:r w:rsidRPr="00B33459">
        <w:rPr>
          <w:sz w:val="24"/>
          <w:szCs w:val="24"/>
        </w:rPr>
        <w:t xml:space="preserve">, Richard </w:t>
      </w:r>
      <w:proofErr w:type="spellStart"/>
      <w:r w:rsidRPr="00B33459">
        <w:rPr>
          <w:sz w:val="24"/>
          <w:szCs w:val="24"/>
        </w:rPr>
        <w:t>Burkhauser</w:t>
      </w:r>
      <w:proofErr w:type="spellEnd"/>
      <w:r w:rsidRPr="00B33459">
        <w:rPr>
          <w:sz w:val="24"/>
          <w:szCs w:val="24"/>
        </w:rPr>
        <w:t>, Danny Cohen-</w:t>
      </w:r>
      <w:proofErr w:type="spellStart"/>
      <w:r w:rsidRPr="00B33459">
        <w:rPr>
          <w:sz w:val="24"/>
          <w:szCs w:val="24"/>
        </w:rPr>
        <w:t>Zada</w:t>
      </w:r>
      <w:proofErr w:type="spellEnd"/>
      <w:r w:rsidRPr="00B33459">
        <w:rPr>
          <w:sz w:val="24"/>
          <w:szCs w:val="24"/>
        </w:rPr>
        <w:t xml:space="preserve">, John </w:t>
      </w:r>
      <w:proofErr w:type="spellStart"/>
      <w:r w:rsidRPr="00B33459">
        <w:rPr>
          <w:sz w:val="24"/>
          <w:szCs w:val="24"/>
        </w:rPr>
        <w:t>Haisken</w:t>
      </w:r>
      <w:proofErr w:type="spellEnd"/>
      <w:r w:rsidRPr="00B33459">
        <w:rPr>
          <w:sz w:val="24"/>
          <w:szCs w:val="24"/>
        </w:rPr>
        <w:t xml:space="preserve"> De-New, </w:t>
      </w:r>
      <w:proofErr w:type="spellStart"/>
      <w:r w:rsidR="0048708D">
        <w:rPr>
          <w:sz w:val="24"/>
          <w:szCs w:val="24"/>
        </w:rPr>
        <w:t>Colm</w:t>
      </w:r>
      <w:proofErr w:type="spellEnd"/>
      <w:r w:rsidR="0048708D">
        <w:rPr>
          <w:sz w:val="24"/>
          <w:szCs w:val="24"/>
        </w:rPr>
        <w:t xml:space="preserve"> Harmon, </w:t>
      </w:r>
      <w:r w:rsidRPr="00B33459">
        <w:rPr>
          <w:sz w:val="24"/>
          <w:szCs w:val="24"/>
        </w:rPr>
        <w:t xml:space="preserve">Nikhil </w:t>
      </w:r>
      <w:proofErr w:type="spellStart"/>
      <w:r w:rsidRPr="00B33459">
        <w:rPr>
          <w:sz w:val="24"/>
          <w:szCs w:val="24"/>
        </w:rPr>
        <w:t>Jha</w:t>
      </w:r>
      <w:proofErr w:type="spellEnd"/>
      <w:r w:rsidRPr="00B33459">
        <w:rPr>
          <w:sz w:val="24"/>
          <w:szCs w:val="24"/>
        </w:rPr>
        <w:t xml:space="preserve">, Patrick Lam, Raymond Orr, Cain </w:t>
      </w:r>
      <w:proofErr w:type="spellStart"/>
      <w:r w:rsidRPr="00B33459">
        <w:rPr>
          <w:sz w:val="24"/>
          <w:szCs w:val="24"/>
        </w:rPr>
        <w:t>Polidano</w:t>
      </w:r>
      <w:proofErr w:type="spellEnd"/>
      <w:r w:rsidRPr="00B33459">
        <w:rPr>
          <w:sz w:val="24"/>
          <w:szCs w:val="24"/>
        </w:rPr>
        <w:t xml:space="preserve">, Dave </w:t>
      </w:r>
      <w:proofErr w:type="spellStart"/>
      <w:r w:rsidRPr="00B33459">
        <w:rPr>
          <w:sz w:val="24"/>
          <w:szCs w:val="24"/>
        </w:rPr>
        <w:t>Ribar</w:t>
      </w:r>
      <w:proofErr w:type="spellEnd"/>
      <w:r w:rsidRPr="00B33459">
        <w:rPr>
          <w:sz w:val="24"/>
          <w:szCs w:val="24"/>
        </w:rPr>
        <w:t xml:space="preserve">, Ben Stephens, seminar participants at the University of Melbourne, and especially Chris Ryan for early </w:t>
      </w:r>
      <w:r>
        <w:rPr>
          <w:sz w:val="24"/>
          <w:szCs w:val="24"/>
        </w:rPr>
        <w:t>support</w:t>
      </w:r>
      <w:r w:rsidRPr="00B33459">
        <w:rPr>
          <w:sz w:val="24"/>
          <w:szCs w:val="24"/>
        </w:rPr>
        <w:t xml:space="preserve"> and </w:t>
      </w:r>
      <w:r>
        <w:rPr>
          <w:sz w:val="24"/>
          <w:szCs w:val="24"/>
        </w:rPr>
        <w:t>advi</w:t>
      </w:r>
      <w:r w:rsidRPr="00B33459">
        <w:rPr>
          <w:sz w:val="24"/>
          <w:szCs w:val="24"/>
        </w:rPr>
        <w:t xml:space="preserve">ce. </w:t>
      </w:r>
      <w:r w:rsidRPr="00A65C06">
        <w:rPr>
          <w:sz w:val="24"/>
          <w:szCs w:val="24"/>
        </w:rPr>
        <w:t>This research did not receive any specific grant from funding agencies in the public, commercial, or not-for-profit sectors.</w:t>
      </w:r>
      <w:r>
        <w:rPr>
          <w:sz w:val="24"/>
          <w:szCs w:val="24"/>
        </w:rPr>
        <w:t xml:space="preserve"> </w:t>
      </w:r>
    </w:p>
    <w:p w14:paraId="06DA5E81" w14:textId="77777777" w:rsidR="00A65C06" w:rsidRDefault="00A65C06" w:rsidP="00A65C06">
      <w:pPr>
        <w:rPr>
          <w:lang w:bidi="he-IL"/>
        </w:rPr>
      </w:pPr>
    </w:p>
    <w:p w14:paraId="500B8F65" w14:textId="2AC54EF2" w:rsidR="00CF6E21" w:rsidRDefault="00CF6E21">
      <w:r>
        <w:br w:type="page"/>
      </w:r>
    </w:p>
    <w:p w14:paraId="2F8D983E" w14:textId="77777777" w:rsidR="00DA1034" w:rsidRPr="00DA1034" w:rsidRDefault="00DA1034" w:rsidP="00DA1034">
      <w:pPr>
        <w:pStyle w:val="ReferenceHeading"/>
      </w:pPr>
      <w:r w:rsidRPr="00DA1034">
        <w:lastRenderedPageBreak/>
        <w:t>References</w:t>
      </w:r>
    </w:p>
    <w:p w14:paraId="28B99937" w14:textId="77777777" w:rsidR="00DA1034" w:rsidRPr="00F9009D" w:rsidRDefault="00DA1034" w:rsidP="004F6A7B">
      <w:pPr>
        <w:ind w:left="204" w:hanging="204"/>
        <w:contextualSpacing/>
      </w:pPr>
      <w:proofErr w:type="gramStart"/>
      <w:r w:rsidRPr="00F9009D">
        <w:t>Altman, Jon, Geoff Buchanan and Nicholas Biddle, 2006.</w:t>
      </w:r>
      <w:proofErr w:type="gramEnd"/>
      <w:r w:rsidRPr="00F9009D">
        <w:t xml:space="preserve"> </w:t>
      </w:r>
      <w:proofErr w:type="gramStart"/>
      <w:r w:rsidRPr="00F9009D">
        <w:t>Measuring the ‘Real’ Indigenous Economy in Remote Australia Using NATSISS 2002</w:t>
      </w:r>
      <w:r>
        <w:t>.</w:t>
      </w:r>
      <w:proofErr w:type="gramEnd"/>
      <w:r w:rsidRPr="00F9009D">
        <w:t xml:space="preserve"> </w:t>
      </w:r>
      <w:r w:rsidRPr="00F9009D">
        <w:rPr>
          <w:i/>
          <w:iCs/>
        </w:rPr>
        <w:t xml:space="preserve">Australian Journal of </w:t>
      </w:r>
      <w:proofErr w:type="spellStart"/>
      <w:r w:rsidRPr="00F9009D">
        <w:rPr>
          <w:i/>
          <w:iCs/>
        </w:rPr>
        <w:t>Labour</w:t>
      </w:r>
      <w:proofErr w:type="spellEnd"/>
      <w:r w:rsidRPr="00F9009D">
        <w:rPr>
          <w:i/>
          <w:iCs/>
        </w:rPr>
        <w:t xml:space="preserve"> Economics</w:t>
      </w:r>
      <w:r w:rsidRPr="00F9009D">
        <w:t xml:space="preserve"> 9:17–31.</w:t>
      </w:r>
    </w:p>
    <w:p w14:paraId="73378D0C" w14:textId="77777777" w:rsidR="00DA1034" w:rsidRPr="00F9009D" w:rsidRDefault="00DA1034" w:rsidP="00DA1034">
      <w:pPr>
        <w:ind w:left="204" w:hanging="204"/>
        <w:contextualSpacing/>
      </w:pPr>
      <w:proofErr w:type="gramStart"/>
      <w:r w:rsidRPr="00F9009D">
        <w:t>Altman, Jon, Nicholas Biddle and Boyd Hunter, 2008.</w:t>
      </w:r>
      <w:proofErr w:type="gramEnd"/>
      <w:r w:rsidRPr="00F9009D">
        <w:t xml:space="preserve"> How realistic are the prospects for ‘closing the gaps’ in socioeconomic outcomes for Indigenous Australians? Working Paper 287/2008 Centre for Aboriginal Economic Policy Research, Australia National University, Canberra.</w:t>
      </w:r>
    </w:p>
    <w:p w14:paraId="352AFCCC" w14:textId="77777777" w:rsidR="00DA1034" w:rsidRDefault="00DA1034" w:rsidP="00DA1034">
      <w:pPr>
        <w:ind w:left="204" w:hanging="204"/>
        <w:contextualSpacing/>
      </w:pPr>
      <w:proofErr w:type="gramStart"/>
      <w:r w:rsidRPr="00F9009D">
        <w:t>Altman, Jon and Susie Russell</w:t>
      </w:r>
      <w:r>
        <w:t>,</w:t>
      </w:r>
      <w:r w:rsidRPr="00F9009D">
        <w:t xml:space="preserve"> 2012.</w:t>
      </w:r>
      <w:proofErr w:type="gramEnd"/>
      <w:r w:rsidRPr="00F9009D">
        <w:t xml:space="preserve"> Too much ‘Dreaming’: Evaluations of the Northern Territory National Emergency Response Intervention 2007-2012</w:t>
      </w:r>
      <w:r>
        <w:t>.</w:t>
      </w:r>
      <w:r w:rsidRPr="00F9009D">
        <w:t xml:space="preserve"> </w:t>
      </w:r>
      <w:r w:rsidRPr="00F9009D">
        <w:rPr>
          <w:i/>
          <w:iCs/>
        </w:rPr>
        <w:t>Evidence Base</w:t>
      </w:r>
      <w:r w:rsidRPr="00F9009D">
        <w:t xml:space="preserve"> 3.</w:t>
      </w:r>
    </w:p>
    <w:p w14:paraId="4D30E644" w14:textId="77777777" w:rsidR="00DA1034" w:rsidRDefault="00DA1034" w:rsidP="00DA1034">
      <w:pPr>
        <w:ind w:left="204" w:hanging="204"/>
        <w:contextualSpacing/>
      </w:pPr>
      <w:proofErr w:type="gramStart"/>
      <w:r>
        <w:t>Australia Bureau of Statistics, 2009.</w:t>
      </w:r>
      <w:proofErr w:type="gramEnd"/>
      <w:r>
        <w:t xml:space="preserve"> Experimental Life Tables for Aboriginal and Torres Strait Islander Australians, 2005–2007. Cat. </w:t>
      </w:r>
      <w:proofErr w:type="gramStart"/>
      <w:r>
        <w:t>No. 3302.0.55.003.</w:t>
      </w:r>
      <w:proofErr w:type="gramEnd"/>
      <w:r w:rsidRPr="0058361B">
        <w:t xml:space="preserve"> </w:t>
      </w:r>
    </w:p>
    <w:p w14:paraId="67FE9578" w14:textId="77777777" w:rsidR="00DA1034" w:rsidRDefault="00DA1034">
      <w:pPr>
        <w:ind w:left="204" w:hanging="204"/>
        <w:contextualSpacing/>
      </w:pPr>
      <w:proofErr w:type="gramStart"/>
      <w:r>
        <w:t>Australia Bureau of Statistics, 201</w:t>
      </w:r>
      <w:r w:rsidR="00576F51">
        <w:t>2</w:t>
      </w:r>
      <w:r>
        <w:t>.</w:t>
      </w:r>
      <w:proofErr w:type="gramEnd"/>
      <w:r>
        <w:t xml:space="preserve"> </w:t>
      </w:r>
      <w:proofErr w:type="spellStart"/>
      <w:proofErr w:type="gramStart"/>
      <w:r w:rsidRPr="00035A43">
        <w:rPr>
          <w:bCs/>
          <w:color w:val="000000"/>
          <w:shd w:val="clear" w:color="auto" w:fill="FFFFFF"/>
        </w:rPr>
        <w:t>Labour</w:t>
      </w:r>
      <w:proofErr w:type="spellEnd"/>
      <w:r w:rsidRPr="00035A43">
        <w:rPr>
          <w:bCs/>
          <w:color w:val="000000"/>
          <w:shd w:val="clear" w:color="auto" w:fill="FFFFFF"/>
        </w:rPr>
        <w:t xml:space="preserve"> Force Characteristics of Aboriginal and Torres Strait Islander Australians, Estimates from the </w:t>
      </w:r>
      <w:proofErr w:type="spellStart"/>
      <w:r w:rsidRPr="00035A43">
        <w:rPr>
          <w:bCs/>
          <w:color w:val="000000"/>
          <w:shd w:val="clear" w:color="auto" w:fill="FFFFFF"/>
        </w:rPr>
        <w:t>Labour</w:t>
      </w:r>
      <w:proofErr w:type="spellEnd"/>
      <w:r w:rsidRPr="00035A43">
        <w:rPr>
          <w:bCs/>
          <w:color w:val="000000"/>
          <w:shd w:val="clear" w:color="auto" w:fill="FFFFFF"/>
        </w:rPr>
        <w:t xml:space="preserve"> Force Survey, 2011</w:t>
      </w:r>
      <w:r>
        <w:rPr>
          <w:bCs/>
          <w:color w:val="000000"/>
          <w:shd w:val="clear" w:color="auto" w:fill="FFFFFF"/>
        </w:rPr>
        <w:t>.</w:t>
      </w:r>
      <w:proofErr w:type="gramEnd"/>
      <w:r w:rsidRPr="00035A43">
        <w:rPr>
          <w:bCs/>
          <w:color w:val="000000"/>
          <w:shd w:val="clear" w:color="auto" w:fill="FFFFFF"/>
        </w:rPr>
        <w:t xml:space="preserve"> </w:t>
      </w:r>
      <w:proofErr w:type="gramStart"/>
      <w:r w:rsidRPr="00035A43">
        <w:rPr>
          <w:bCs/>
          <w:color w:val="000000"/>
          <w:shd w:val="clear" w:color="auto" w:fill="FFFFFF"/>
        </w:rPr>
        <w:t xml:space="preserve">ABS </w:t>
      </w:r>
      <w:r w:rsidRPr="00035A43">
        <w:t>cat.</w:t>
      </w:r>
      <w:proofErr w:type="gramEnd"/>
      <w:r w:rsidRPr="00035A43">
        <w:t xml:space="preserve"> </w:t>
      </w:r>
      <w:proofErr w:type="gramStart"/>
      <w:r w:rsidRPr="00035A43">
        <w:t>no</w:t>
      </w:r>
      <w:proofErr w:type="gramEnd"/>
      <w:r w:rsidRPr="00035A43">
        <w:t>. 6287.0</w:t>
      </w:r>
      <w:r>
        <w:t>.</w:t>
      </w:r>
    </w:p>
    <w:p w14:paraId="2CB90379" w14:textId="77777777" w:rsidR="00E7016A" w:rsidRDefault="00E7016A">
      <w:pPr>
        <w:ind w:left="204" w:hanging="204"/>
        <w:contextualSpacing/>
      </w:pPr>
      <w:proofErr w:type="gramStart"/>
      <w:r w:rsidRPr="00E7016A">
        <w:t>Australia</w:t>
      </w:r>
      <w:r>
        <w:t>n Human Rights Commission, 1997.</w:t>
      </w:r>
      <w:proofErr w:type="gramEnd"/>
      <w:r>
        <w:t xml:space="preserve"> </w:t>
      </w:r>
      <w:proofErr w:type="gramStart"/>
      <w:r>
        <w:t>Bringing them Home: Report of the National Inquiry into the Separation of Aboriginal and Torres Strait Islander Children from Their Families.</w:t>
      </w:r>
      <w:proofErr w:type="gramEnd"/>
      <w:r>
        <w:t xml:space="preserve"> Downloaded from: </w:t>
      </w:r>
    </w:p>
    <w:p w14:paraId="50C6FB7E" w14:textId="77777777" w:rsidR="00E7016A" w:rsidRDefault="00E7016A" w:rsidP="00365102">
      <w:pPr>
        <w:ind w:left="204"/>
        <w:contextualSpacing/>
      </w:pPr>
      <w:r w:rsidRPr="00E7016A">
        <w:t>https://www.humanrights.gov.au/publications/bringing-them-home-report-1997</w:t>
      </w:r>
    </w:p>
    <w:p w14:paraId="7CAAF600" w14:textId="77777777" w:rsidR="00DA1034" w:rsidRPr="00F9009D" w:rsidRDefault="00DA1034" w:rsidP="00E7016A">
      <w:pPr>
        <w:ind w:left="204" w:hanging="204"/>
        <w:contextualSpacing/>
      </w:pPr>
      <w:r w:rsidRPr="00F9009D">
        <w:t>Broome, Richard</w:t>
      </w:r>
      <w:r>
        <w:t>,</w:t>
      </w:r>
      <w:r w:rsidRPr="00F9009D">
        <w:t xml:space="preserve"> 2010. </w:t>
      </w:r>
      <w:r w:rsidRPr="00F9009D">
        <w:rPr>
          <w:i/>
          <w:iCs/>
        </w:rPr>
        <w:t>Aboriginal Australians: A history since 1788</w:t>
      </w:r>
      <w:r>
        <w:t>,</w:t>
      </w:r>
      <w:r w:rsidRPr="00F9009D">
        <w:t xml:space="preserve"> 4th ed. Sydney: Allen and Unwin.</w:t>
      </w:r>
    </w:p>
    <w:p w14:paraId="45AC470D" w14:textId="77777777" w:rsidR="008763E8" w:rsidRDefault="008763E8">
      <w:pPr>
        <w:ind w:left="204" w:hanging="204"/>
        <w:contextualSpacing/>
      </w:pPr>
      <w:proofErr w:type="gramStart"/>
      <w:r w:rsidRPr="008763E8">
        <w:t xml:space="preserve">Cameron, A. Colin, Jonah B. </w:t>
      </w:r>
      <w:proofErr w:type="spellStart"/>
      <w:r w:rsidRPr="008763E8">
        <w:t>Gelbach</w:t>
      </w:r>
      <w:proofErr w:type="spellEnd"/>
      <w:r w:rsidRPr="008763E8">
        <w:t>, and Douglas L. Miller.</w:t>
      </w:r>
      <w:proofErr w:type="gramEnd"/>
      <w:r w:rsidRPr="008763E8">
        <w:t xml:space="preserve"> 2008. Bootstrap-Based Improvements for Inference with Clustered Errors</w:t>
      </w:r>
      <w:r w:rsidR="00682E28">
        <w:t>.</w:t>
      </w:r>
      <w:r w:rsidRPr="008763E8">
        <w:t> </w:t>
      </w:r>
      <w:r w:rsidRPr="008763E8">
        <w:rPr>
          <w:i/>
          <w:iCs/>
        </w:rPr>
        <w:t>The Review of Economics and Statistics</w:t>
      </w:r>
      <w:r w:rsidRPr="008763E8">
        <w:t> 90(3): 414-427. </w:t>
      </w:r>
    </w:p>
    <w:p w14:paraId="7D2E8AAC" w14:textId="77777777" w:rsidR="00DA1034" w:rsidRPr="00F9009D" w:rsidRDefault="00DA1034" w:rsidP="00DA1034">
      <w:pPr>
        <w:ind w:left="204" w:hanging="204"/>
        <w:contextualSpacing/>
      </w:pPr>
      <w:proofErr w:type="gramStart"/>
      <w:r w:rsidRPr="00F9009D">
        <w:t>Campbell, David and Joan Wright, 2005.</w:t>
      </w:r>
      <w:proofErr w:type="gramEnd"/>
      <w:r w:rsidRPr="00F9009D">
        <w:t xml:space="preserve"> </w:t>
      </w:r>
      <w:proofErr w:type="gramStart"/>
      <w:r w:rsidRPr="00F9009D">
        <w:t>Rethinking Welfare School-Attendance Policies</w:t>
      </w:r>
      <w:r>
        <w:t>.</w:t>
      </w:r>
      <w:proofErr w:type="gramEnd"/>
      <w:r w:rsidRPr="00F9009D">
        <w:t xml:space="preserve"> </w:t>
      </w:r>
      <w:r w:rsidRPr="00F9009D">
        <w:rPr>
          <w:i/>
          <w:iCs/>
        </w:rPr>
        <w:t xml:space="preserve">Social Service Review </w:t>
      </w:r>
      <w:r w:rsidRPr="00F9009D">
        <w:t>79:2-28.</w:t>
      </w:r>
    </w:p>
    <w:p w14:paraId="7D8AD73A" w14:textId="77777777" w:rsidR="00DA1034" w:rsidRPr="00F9009D" w:rsidRDefault="00DA1034" w:rsidP="00DA1034">
      <w:pPr>
        <w:ind w:left="204" w:hanging="204"/>
        <w:contextualSpacing/>
      </w:pPr>
      <w:r w:rsidRPr="00F9009D">
        <w:t xml:space="preserve">Cook, Philip J., Kenneth Dodge, George </w:t>
      </w:r>
      <w:proofErr w:type="spellStart"/>
      <w:r w:rsidRPr="00F9009D">
        <w:t>Farkas</w:t>
      </w:r>
      <w:proofErr w:type="spellEnd"/>
      <w:r w:rsidRPr="00F9009D">
        <w:t xml:space="preserve">, Roland G. Fryer, Jonathan </w:t>
      </w:r>
      <w:proofErr w:type="spellStart"/>
      <w:r w:rsidRPr="00F9009D">
        <w:t>Guryan</w:t>
      </w:r>
      <w:proofErr w:type="spellEnd"/>
      <w:r w:rsidRPr="00F9009D">
        <w:t xml:space="preserve">, Jens Ludwig, Susan Mayer, Harold Pollack, and Laurence Steinberg. 2014. </w:t>
      </w:r>
      <w:r>
        <w:t>T</w:t>
      </w:r>
      <w:r w:rsidRPr="00F9009D">
        <w:t xml:space="preserve">he (Surprising) Efficacy of Academic and Behavioral Intervention with Disadvantaged Youth: Results from a Randomized Experiment in Chicago. </w:t>
      </w:r>
      <w:r>
        <w:t>DP</w:t>
      </w:r>
      <w:r w:rsidRPr="00F9009D">
        <w:t xml:space="preserve"> 19862, National Bureau of Economic Resear</w:t>
      </w:r>
      <w:r>
        <w:t>ch.</w:t>
      </w:r>
      <w:r w:rsidRPr="00F9009D">
        <w:t xml:space="preserve"> Cambridge, MA. </w:t>
      </w:r>
    </w:p>
    <w:p w14:paraId="526FB7E4" w14:textId="77777777" w:rsidR="00DA1034" w:rsidRDefault="00DA1034" w:rsidP="00DA1034">
      <w:pPr>
        <w:widowControl w:val="0"/>
        <w:ind w:left="204" w:hanging="204"/>
        <w:contextualSpacing/>
      </w:pPr>
      <w:proofErr w:type="gramStart"/>
      <w:r w:rsidRPr="00F9009D">
        <w:t>Department of Education, Employment and Workplace Relations</w:t>
      </w:r>
      <w:r>
        <w:t xml:space="preserve"> (DEEWR),</w:t>
      </w:r>
      <w:r w:rsidRPr="00F9009D">
        <w:t xml:space="preserve"> 2011.</w:t>
      </w:r>
      <w:proofErr w:type="gramEnd"/>
      <w:r w:rsidRPr="00F9009D">
        <w:t xml:space="preserve"> Improving School Enrolment and Attendance through Welfare Reform Measure (SEAM): Evaluation Report for the Northern Territory in 2009</w:t>
      </w:r>
      <w:r>
        <w:t>.</w:t>
      </w:r>
      <w:r w:rsidRPr="00F9009D">
        <w:t xml:space="preserve"> Social Policy and Economic Strategy Group,</w:t>
      </w:r>
      <w:r w:rsidRPr="00336B64">
        <w:t xml:space="preserve"> </w:t>
      </w:r>
      <w:r>
        <w:t>DEEWR,</w:t>
      </w:r>
      <w:r w:rsidRPr="00F9009D">
        <w:t xml:space="preserve"> Canberra</w:t>
      </w:r>
      <w:r>
        <w:t>.</w:t>
      </w:r>
    </w:p>
    <w:p w14:paraId="22EE8E5B" w14:textId="77777777" w:rsidR="003A4396" w:rsidRPr="00F9009D" w:rsidRDefault="003A4396" w:rsidP="003A4396">
      <w:pPr>
        <w:widowControl w:val="0"/>
        <w:ind w:left="204" w:hanging="204"/>
        <w:contextualSpacing/>
      </w:pPr>
      <w:proofErr w:type="spellStart"/>
      <w:r>
        <w:t>Esarey</w:t>
      </w:r>
      <w:proofErr w:type="spellEnd"/>
      <w:r>
        <w:t xml:space="preserve">, Justin, 2015. </w:t>
      </w:r>
      <w:proofErr w:type="spellStart"/>
      <w:proofErr w:type="gramStart"/>
      <w:r>
        <w:t>clusterSEs</w:t>
      </w:r>
      <w:proofErr w:type="spellEnd"/>
      <w:proofErr w:type="gramEnd"/>
      <w:r>
        <w:t xml:space="preserve">: Calculate Cluster-Robust p-Values and Confidence Intervals. </w:t>
      </w:r>
      <w:proofErr w:type="gramStart"/>
      <w:r>
        <w:t>R package version 2.1.</w:t>
      </w:r>
      <w:proofErr w:type="gramEnd"/>
      <w:r>
        <w:t xml:space="preserve"> http://CRAN.R-project.org/package=clusterSEs.</w:t>
      </w:r>
    </w:p>
    <w:p w14:paraId="34D7FB72" w14:textId="4D5E28C8" w:rsidR="00DA1034" w:rsidRPr="00F9009D" w:rsidRDefault="00DA1034" w:rsidP="00993636">
      <w:pPr>
        <w:widowControl w:val="0"/>
        <w:ind w:left="204" w:hanging="204"/>
        <w:contextualSpacing/>
      </w:pPr>
      <w:proofErr w:type="gramStart"/>
      <w:r w:rsidRPr="00F9009D">
        <w:t>Hunter, Boyd and Matthew Gray</w:t>
      </w:r>
      <w:r>
        <w:t>, 2012.</w:t>
      </w:r>
      <w:proofErr w:type="gramEnd"/>
      <w:r>
        <w:t xml:space="preserve"> </w:t>
      </w:r>
      <w:proofErr w:type="gramStart"/>
      <w:r w:rsidRPr="00F9009D">
        <w:t xml:space="preserve">Indigenous </w:t>
      </w:r>
      <w:proofErr w:type="spellStart"/>
      <w:r w:rsidRPr="00F9009D">
        <w:t>Labour</w:t>
      </w:r>
      <w:proofErr w:type="spellEnd"/>
      <w:r w:rsidRPr="00F9009D">
        <w:t xml:space="preserve"> Supply </w:t>
      </w:r>
      <w:r w:rsidR="00993636">
        <w:t>F</w:t>
      </w:r>
      <w:r w:rsidRPr="00F9009D">
        <w:t>ollowing a Period of Strong Economic Growth.</w:t>
      </w:r>
      <w:proofErr w:type="gramEnd"/>
      <w:r w:rsidRPr="00F9009D">
        <w:t xml:space="preserve"> </w:t>
      </w:r>
      <w:r w:rsidRPr="00F9009D">
        <w:rPr>
          <w:i/>
        </w:rPr>
        <w:t xml:space="preserve">Australian Journal of </w:t>
      </w:r>
      <w:proofErr w:type="spellStart"/>
      <w:r w:rsidRPr="00F9009D">
        <w:rPr>
          <w:i/>
        </w:rPr>
        <w:t>Labour</w:t>
      </w:r>
      <w:proofErr w:type="spellEnd"/>
      <w:r w:rsidRPr="00F9009D">
        <w:rPr>
          <w:i/>
        </w:rPr>
        <w:t xml:space="preserve"> </w:t>
      </w:r>
      <w:r w:rsidRPr="00F9009D">
        <w:rPr>
          <w:i/>
        </w:rPr>
        <w:lastRenderedPageBreak/>
        <w:t>Economics</w:t>
      </w:r>
      <w:r w:rsidRPr="00F9009D">
        <w:t xml:space="preserve"> 15(2): 141-159. </w:t>
      </w:r>
    </w:p>
    <w:p w14:paraId="5CD61BB4" w14:textId="494CC087" w:rsidR="00DA1034" w:rsidRPr="00F9009D" w:rsidRDefault="00DA1034" w:rsidP="00D1252D">
      <w:pPr>
        <w:ind w:left="204" w:hanging="204"/>
        <w:contextualSpacing/>
      </w:pPr>
      <w:proofErr w:type="gramStart"/>
      <w:r w:rsidRPr="00F9009D">
        <w:t xml:space="preserve">Levitt, Steven, John List, Susanne </w:t>
      </w:r>
      <w:proofErr w:type="spellStart"/>
      <w:r w:rsidRPr="00F9009D">
        <w:t>Neckerman</w:t>
      </w:r>
      <w:proofErr w:type="spellEnd"/>
      <w:r w:rsidRPr="00F9009D">
        <w:t xml:space="preserve"> and Sally </w:t>
      </w:r>
      <w:proofErr w:type="spellStart"/>
      <w:r w:rsidRPr="00F9009D">
        <w:t>Sadoff</w:t>
      </w:r>
      <w:proofErr w:type="spellEnd"/>
      <w:r w:rsidRPr="00F9009D">
        <w:t>.</w:t>
      </w:r>
      <w:proofErr w:type="gramEnd"/>
      <w:r w:rsidRPr="00F9009D">
        <w:t xml:space="preserve"> 2012. The </w:t>
      </w:r>
      <w:proofErr w:type="spellStart"/>
      <w:r w:rsidRPr="00F9009D">
        <w:t>Behavioralist</w:t>
      </w:r>
      <w:proofErr w:type="spellEnd"/>
      <w:r w:rsidRPr="00F9009D">
        <w:t xml:space="preserve"> Goes to School: Leveraging Behavioral Economics to Improve Educational Performance. </w:t>
      </w:r>
      <w:proofErr w:type="gramStart"/>
      <w:r w:rsidR="00D1252D">
        <w:t>WP</w:t>
      </w:r>
      <w:r w:rsidRPr="00F9009D">
        <w:t xml:space="preserve"> 181</w:t>
      </w:r>
      <w:r>
        <w:t xml:space="preserve">65, </w:t>
      </w:r>
      <w:r w:rsidR="00D1252D">
        <w:t>NBER</w:t>
      </w:r>
      <w:r w:rsidRPr="00F9009D">
        <w:t>, Cambridge, MA.</w:t>
      </w:r>
      <w:proofErr w:type="gramEnd"/>
      <w:r w:rsidRPr="00F9009D">
        <w:t xml:space="preserve"> </w:t>
      </w:r>
    </w:p>
    <w:p w14:paraId="1CF1B9AF" w14:textId="77777777" w:rsidR="00DA1034" w:rsidRPr="00F9009D" w:rsidRDefault="00DA1034" w:rsidP="00DA1034">
      <w:pPr>
        <w:ind w:left="204" w:hanging="204"/>
        <w:contextualSpacing/>
      </w:pPr>
      <w:proofErr w:type="gramStart"/>
      <w:r w:rsidRPr="00F9009D">
        <w:t>Rawlings, Laura and Gloria Rubio</w:t>
      </w:r>
      <w:r>
        <w:t>,</w:t>
      </w:r>
      <w:r w:rsidRPr="00F9009D">
        <w:t xml:space="preserve"> 2005.</w:t>
      </w:r>
      <w:proofErr w:type="gramEnd"/>
      <w:r w:rsidRPr="00F9009D">
        <w:t xml:space="preserve"> </w:t>
      </w:r>
      <w:proofErr w:type="gramStart"/>
      <w:r w:rsidRPr="00F9009D">
        <w:t>Evaluating the Impact of Conditional Cash Transfer Programs</w:t>
      </w:r>
      <w:r>
        <w:t>.</w:t>
      </w:r>
      <w:proofErr w:type="gramEnd"/>
      <w:r w:rsidRPr="00F9009D">
        <w:t xml:space="preserve"> </w:t>
      </w:r>
      <w:r w:rsidRPr="00F9009D">
        <w:rPr>
          <w:i/>
          <w:iCs/>
        </w:rPr>
        <w:t>The World Bank Research Observer</w:t>
      </w:r>
      <w:r w:rsidRPr="00F9009D">
        <w:t xml:space="preserve"> 20(1):29–55.</w:t>
      </w:r>
    </w:p>
    <w:p w14:paraId="006D3AA1" w14:textId="77777777" w:rsidR="00DA1034" w:rsidRDefault="00DA1034" w:rsidP="00DA1034">
      <w:pPr>
        <w:ind w:left="204" w:hanging="204"/>
        <w:contextualSpacing/>
      </w:pPr>
      <w:proofErr w:type="gramStart"/>
      <w:r>
        <w:t>Steering Committee for the Review of Government Service Provision (SCRGSP), 2011.</w:t>
      </w:r>
      <w:proofErr w:type="gramEnd"/>
      <w:r>
        <w:t xml:space="preserve"> </w:t>
      </w:r>
      <w:proofErr w:type="gramStart"/>
      <w:r>
        <w:t>Overcoming Indigenous Disadvantage: Key Indicators 2011.</w:t>
      </w:r>
      <w:proofErr w:type="gramEnd"/>
      <w:r>
        <w:t xml:space="preserve"> Productivity Commission, Canberra. </w:t>
      </w:r>
    </w:p>
    <w:p w14:paraId="796EF3F9" w14:textId="09FBF998" w:rsidR="00DA1034" w:rsidRDefault="00DA1034" w:rsidP="00D1252D">
      <w:pPr>
        <w:ind w:left="204" w:hanging="204"/>
        <w:contextualSpacing/>
      </w:pPr>
      <w:r w:rsidRPr="00F9009D">
        <w:t>Stephens, Benjamin</w:t>
      </w:r>
      <w:r>
        <w:t xml:space="preserve"> J,</w:t>
      </w:r>
      <w:r w:rsidRPr="00F9009D">
        <w:t xml:space="preserve"> 2010. </w:t>
      </w:r>
      <w:proofErr w:type="gramStart"/>
      <w:r w:rsidRPr="00F9009D">
        <w:t xml:space="preserve">The Determinants of </w:t>
      </w:r>
      <w:proofErr w:type="spellStart"/>
      <w:r w:rsidRPr="00F9009D">
        <w:t>Labour</w:t>
      </w:r>
      <w:proofErr w:type="spellEnd"/>
      <w:r w:rsidRPr="00F9009D">
        <w:t xml:space="preserve"> Force Status among Indigenous Australians</w:t>
      </w:r>
      <w:r>
        <w:t>.</w:t>
      </w:r>
      <w:proofErr w:type="gramEnd"/>
      <w:r w:rsidRPr="00F9009D">
        <w:t xml:space="preserve"> </w:t>
      </w:r>
      <w:r w:rsidRPr="00F9009D">
        <w:rPr>
          <w:i/>
          <w:iCs/>
        </w:rPr>
        <w:t xml:space="preserve">Australian Journal of </w:t>
      </w:r>
      <w:proofErr w:type="spellStart"/>
      <w:r w:rsidRPr="00F9009D">
        <w:rPr>
          <w:i/>
          <w:iCs/>
        </w:rPr>
        <w:t>Labour</w:t>
      </w:r>
      <w:proofErr w:type="spellEnd"/>
      <w:r w:rsidRPr="00F9009D">
        <w:rPr>
          <w:i/>
          <w:iCs/>
        </w:rPr>
        <w:t xml:space="preserve"> Economics, </w:t>
      </w:r>
      <w:r w:rsidRPr="00F9009D">
        <w:t>13:287-312.</w:t>
      </w:r>
    </w:p>
    <w:p w14:paraId="7AB9DF62" w14:textId="520B4A76" w:rsidR="00CD4545" w:rsidRPr="00CD4545" w:rsidRDefault="00CD4545" w:rsidP="00FA6B76">
      <w:pPr>
        <w:ind w:left="288" w:hanging="288"/>
        <w:rPr>
          <w:rFonts w:eastAsia="Times New Roman"/>
        </w:rPr>
      </w:pPr>
      <w:proofErr w:type="spellStart"/>
      <w:r w:rsidRPr="00FA6B76">
        <w:rPr>
          <w:rFonts w:eastAsia="Times New Roman"/>
          <w:color w:val="222222"/>
          <w:shd w:val="clear" w:color="auto" w:fill="FFFFFF"/>
        </w:rPr>
        <w:t>Toohey</w:t>
      </w:r>
      <w:proofErr w:type="spellEnd"/>
      <w:r w:rsidRPr="00FA6B76">
        <w:rPr>
          <w:rFonts w:eastAsia="Times New Roman"/>
          <w:color w:val="222222"/>
          <w:shd w:val="clear" w:color="auto" w:fill="FFFFFF"/>
        </w:rPr>
        <w:t xml:space="preserve">, Paul. "Last drinks: the impact of the Northern Territory </w:t>
      </w:r>
      <w:proofErr w:type="spellStart"/>
      <w:r w:rsidRPr="00FA6B76">
        <w:rPr>
          <w:rFonts w:eastAsia="Times New Roman"/>
          <w:color w:val="222222"/>
          <w:shd w:val="clear" w:color="auto" w:fill="FFFFFF"/>
        </w:rPr>
        <w:t>intervention."</w:t>
      </w:r>
      <w:proofErr w:type="gramStart"/>
      <w:r w:rsidRPr="00FA6B76">
        <w:rPr>
          <w:rFonts w:eastAsia="Times New Roman"/>
          <w:i/>
          <w:iCs/>
          <w:color w:val="222222"/>
          <w:shd w:val="clear" w:color="auto" w:fill="FFFFFF"/>
        </w:rPr>
        <w:t>Quarterly</w:t>
      </w:r>
      <w:proofErr w:type="spellEnd"/>
      <w:r w:rsidRPr="00FA6B76">
        <w:rPr>
          <w:rFonts w:eastAsia="Times New Roman"/>
          <w:i/>
          <w:iCs/>
          <w:color w:val="222222"/>
          <w:shd w:val="clear" w:color="auto" w:fill="FFFFFF"/>
        </w:rPr>
        <w:t xml:space="preserve"> Essay</w:t>
      </w:r>
      <w:r w:rsidRPr="00FA6B76">
        <w:rPr>
          <w:rStyle w:val="apple-converted-space"/>
          <w:rFonts w:eastAsia="Times New Roman"/>
          <w:color w:val="222222"/>
          <w:shd w:val="clear" w:color="auto" w:fill="FFFFFF"/>
        </w:rPr>
        <w:t> </w:t>
      </w:r>
      <w:r w:rsidRPr="00FA6B76">
        <w:rPr>
          <w:rFonts w:eastAsia="Times New Roman"/>
          <w:color w:val="222222"/>
          <w:shd w:val="clear" w:color="auto" w:fill="FFFFFF"/>
        </w:rPr>
        <w:t>30 (2008).</w:t>
      </w:r>
      <w:proofErr w:type="gramEnd"/>
    </w:p>
    <w:p w14:paraId="0166DBFB" w14:textId="564D525A" w:rsidR="00A91414" w:rsidRDefault="00DA1034" w:rsidP="00D1252D">
      <w:pPr>
        <w:ind w:left="204" w:hanging="204"/>
        <w:contextualSpacing/>
      </w:pPr>
      <w:proofErr w:type="gramStart"/>
      <w:r w:rsidRPr="00F9009D">
        <w:t>Wild, Rex and Patricia Anderson</w:t>
      </w:r>
      <w:r>
        <w:t>,</w:t>
      </w:r>
      <w:r w:rsidRPr="00F9009D">
        <w:t xml:space="preserve"> 2007.</w:t>
      </w:r>
      <w:proofErr w:type="gramEnd"/>
      <w:r w:rsidRPr="00F9009D">
        <w:t xml:space="preserve"> </w:t>
      </w:r>
      <w:proofErr w:type="spellStart"/>
      <w:r w:rsidRPr="00F9009D">
        <w:rPr>
          <w:i/>
          <w:iCs/>
        </w:rPr>
        <w:t>Ampe</w:t>
      </w:r>
      <w:proofErr w:type="spellEnd"/>
      <w:r w:rsidRPr="00F9009D">
        <w:rPr>
          <w:i/>
          <w:iCs/>
        </w:rPr>
        <w:t xml:space="preserve"> </w:t>
      </w:r>
      <w:proofErr w:type="spellStart"/>
      <w:r w:rsidRPr="00F9009D">
        <w:rPr>
          <w:i/>
          <w:iCs/>
        </w:rPr>
        <w:t>Akelyernemane</w:t>
      </w:r>
      <w:proofErr w:type="spellEnd"/>
      <w:r w:rsidRPr="00F9009D">
        <w:rPr>
          <w:i/>
          <w:iCs/>
        </w:rPr>
        <w:t xml:space="preserve"> </w:t>
      </w:r>
      <w:proofErr w:type="spellStart"/>
      <w:r w:rsidRPr="00F9009D">
        <w:rPr>
          <w:i/>
          <w:iCs/>
        </w:rPr>
        <w:t>Meke</w:t>
      </w:r>
      <w:proofErr w:type="spellEnd"/>
      <w:r w:rsidRPr="00F9009D">
        <w:rPr>
          <w:i/>
          <w:iCs/>
        </w:rPr>
        <w:t xml:space="preserve"> </w:t>
      </w:r>
      <w:proofErr w:type="spellStart"/>
      <w:r w:rsidRPr="00F9009D">
        <w:rPr>
          <w:i/>
          <w:iCs/>
        </w:rPr>
        <w:t>Mekarle</w:t>
      </w:r>
      <w:proofErr w:type="spellEnd"/>
      <w:r>
        <w:rPr>
          <w:i/>
          <w:iCs/>
        </w:rPr>
        <w:t xml:space="preserve">: </w:t>
      </w:r>
      <w:r w:rsidRPr="00F9009D">
        <w:rPr>
          <w:i/>
          <w:iCs/>
        </w:rPr>
        <w:t>Little Children are Sacred</w:t>
      </w:r>
      <w:r w:rsidRPr="00F9009D">
        <w:t xml:space="preserve">. </w:t>
      </w:r>
      <w:proofErr w:type="gramStart"/>
      <w:r w:rsidRPr="00F9009D">
        <w:t>Report of the Northern Territory Board of Inquiry into the Protection of Aboriginal Children from Sexual Abuse.</w:t>
      </w:r>
      <w:proofErr w:type="gramEnd"/>
      <w:r w:rsidRPr="00F9009D">
        <w:t xml:space="preserve"> Darwin</w:t>
      </w:r>
      <w:r w:rsidR="00D1252D">
        <w:t>, NT</w:t>
      </w:r>
      <w:r w:rsidRPr="00F9009D">
        <w:t>.</w:t>
      </w:r>
      <w:r w:rsidR="00A91414">
        <w:br w:type="page"/>
      </w:r>
    </w:p>
    <w:p w14:paraId="6211D34B" w14:textId="77777777" w:rsidR="00DA1034" w:rsidRPr="00CA361F" w:rsidRDefault="00DA1034" w:rsidP="00CA361F">
      <w:pPr>
        <w:pStyle w:val="Heading2"/>
        <w:jc w:val="both"/>
        <w:rPr>
          <w:b/>
          <w:bCs w:val="0"/>
        </w:rPr>
      </w:pPr>
      <w:r w:rsidRPr="009849EC">
        <w:rPr>
          <w:b/>
          <w:bCs w:val="0"/>
        </w:rPr>
        <w:lastRenderedPageBreak/>
        <w:t>Appendix</w:t>
      </w:r>
    </w:p>
    <w:p w14:paraId="60E3DD68" w14:textId="77777777" w:rsidR="00DA1034" w:rsidRPr="00785ACF" w:rsidRDefault="00DA1034" w:rsidP="00CA361F">
      <w:pPr>
        <w:pStyle w:val="TableTitle"/>
      </w:pPr>
      <w:r w:rsidRPr="00785ACF">
        <w:t>Table A</w:t>
      </w:r>
      <w:r w:rsidR="00CA361F">
        <w:t>1</w:t>
      </w:r>
      <w:r w:rsidRPr="00785ACF">
        <w:t xml:space="preserve">: Grade 3 </w:t>
      </w:r>
      <w:r w:rsidR="00CA361F">
        <w:t>Participation rates</w:t>
      </w:r>
    </w:p>
    <w:tbl>
      <w:tblPr>
        <w:tblW w:w="9092" w:type="dxa"/>
        <w:jc w:val="center"/>
        <w:tblLayout w:type="fixed"/>
        <w:tblCellMar>
          <w:left w:w="0" w:type="dxa"/>
          <w:right w:w="0" w:type="dxa"/>
        </w:tblCellMar>
        <w:tblLook w:val="0000" w:firstRow="0" w:lastRow="0" w:firstColumn="0" w:lastColumn="0" w:noHBand="0" w:noVBand="0"/>
      </w:tblPr>
      <w:tblGrid>
        <w:gridCol w:w="2688"/>
        <w:gridCol w:w="640"/>
        <w:gridCol w:w="640"/>
        <w:gridCol w:w="641"/>
        <w:gridCol w:w="640"/>
        <w:gridCol w:w="641"/>
        <w:gridCol w:w="640"/>
        <w:gridCol w:w="640"/>
        <w:gridCol w:w="641"/>
        <w:gridCol w:w="640"/>
        <w:gridCol w:w="641"/>
      </w:tblGrid>
      <w:tr w:rsidR="00DA1034" w:rsidRPr="00785ACF" w14:paraId="04B8EFED" w14:textId="77777777" w:rsidTr="0029492A">
        <w:trPr>
          <w:jc w:val="center"/>
        </w:trPr>
        <w:tc>
          <w:tcPr>
            <w:tcW w:w="2688" w:type="dxa"/>
            <w:tcBorders>
              <w:top w:val="double" w:sz="6" w:space="0" w:color="auto"/>
              <w:left w:val="nil"/>
              <w:bottom w:val="single" w:sz="6" w:space="0" w:color="auto"/>
              <w:right w:val="single" w:sz="6" w:space="0" w:color="auto"/>
            </w:tcBorders>
          </w:tcPr>
          <w:p w14:paraId="20B1B912" w14:textId="77777777" w:rsidR="00DA1034" w:rsidRPr="00785ACF" w:rsidRDefault="00DA1034" w:rsidP="0029492A">
            <w:pPr>
              <w:contextualSpacing/>
              <w:rPr>
                <w:sz w:val="20"/>
                <w:szCs w:val="20"/>
              </w:rPr>
            </w:pPr>
          </w:p>
        </w:tc>
        <w:tc>
          <w:tcPr>
            <w:tcW w:w="3202" w:type="dxa"/>
            <w:gridSpan w:val="5"/>
            <w:tcBorders>
              <w:top w:val="double" w:sz="6" w:space="0" w:color="auto"/>
              <w:left w:val="single" w:sz="6" w:space="0" w:color="auto"/>
              <w:bottom w:val="single" w:sz="6" w:space="0" w:color="auto"/>
              <w:right w:val="single" w:sz="6" w:space="0" w:color="auto"/>
            </w:tcBorders>
            <w:vAlign w:val="center"/>
          </w:tcPr>
          <w:p w14:paraId="5D15BCA8" w14:textId="77777777" w:rsidR="00DA1034" w:rsidRPr="00785ACF" w:rsidRDefault="00CA361F" w:rsidP="0029492A">
            <w:pPr>
              <w:contextualSpacing/>
              <w:jc w:val="center"/>
              <w:rPr>
                <w:sz w:val="20"/>
                <w:szCs w:val="20"/>
              </w:rPr>
            </w:pPr>
            <w:r>
              <w:rPr>
                <w:sz w:val="20"/>
                <w:szCs w:val="20"/>
              </w:rPr>
              <w:t>Reading</w:t>
            </w:r>
          </w:p>
        </w:tc>
        <w:tc>
          <w:tcPr>
            <w:tcW w:w="3202" w:type="dxa"/>
            <w:gridSpan w:val="5"/>
            <w:tcBorders>
              <w:top w:val="double" w:sz="6" w:space="0" w:color="auto"/>
              <w:left w:val="single" w:sz="6" w:space="0" w:color="auto"/>
              <w:bottom w:val="single" w:sz="6" w:space="0" w:color="auto"/>
            </w:tcBorders>
            <w:vAlign w:val="center"/>
          </w:tcPr>
          <w:p w14:paraId="25F3600F" w14:textId="77777777" w:rsidR="00DA1034" w:rsidRPr="00785ACF" w:rsidRDefault="00CA361F" w:rsidP="0029492A">
            <w:pPr>
              <w:contextualSpacing/>
              <w:jc w:val="center"/>
              <w:rPr>
                <w:sz w:val="20"/>
                <w:szCs w:val="20"/>
              </w:rPr>
            </w:pPr>
            <w:r>
              <w:rPr>
                <w:sz w:val="20"/>
                <w:szCs w:val="20"/>
              </w:rPr>
              <w:t>Numeracy</w:t>
            </w:r>
          </w:p>
        </w:tc>
      </w:tr>
      <w:tr w:rsidR="00DA1034" w:rsidRPr="00785ACF" w14:paraId="4B88EAEC" w14:textId="77777777" w:rsidTr="0029492A">
        <w:trPr>
          <w:jc w:val="center"/>
        </w:trPr>
        <w:tc>
          <w:tcPr>
            <w:tcW w:w="2688" w:type="dxa"/>
            <w:tcBorders>
              <w:top w:val="nil"/>
              <w:left w:val="nil"/>
              <w:bottom w:val="single" w:sz="6" w:space="0" w:color="auto"/>
              <w:right w:val="single" w:sz="6" w:space="0" w:color="auto"/>
            </w:tcBorders>
            <w:vAlign w:val="bottom"/>
          </w:tcPr>
          <w:p w14:paraId="45D90DB8" w14:textId="77777777" w:rsidR="00DA1034" w:rsidRPr="00785ACF" w:rsidRDefault="00DA1034" w:rsidP="0029492A">
            <w:pPr>
              <w:ind w:right="170"/>
              <w:contextualSpacing/>
              <w:jc w:val="center"/>
              <w:rPr>
                <w:i/>
                <w:iCs/>
                <w:sz w:val="20"/>
                <w:szCs w:val="20"/>
              </w:rPr>
            </w:pPr>
            <w:r w:rsidRPr="00785ACF">
              <w:rPr>
                <w:i/>
                <w:iCs/>
                <w:sz w:val="20"/>
                <w:szCs w:val="20"/>
              </w:rPr>
              <w:t>State/Territory</w:t>
            </w:r>
          </w:p>
        </w:tc>
        <w:tc>
          <w:tcPr>
            <w:tcW w:w="640" w:type="dxa"/>
            <w:tcBorders>
              <w:top w:val="nil"/>
              <w:left w:val="single" w:sz="6" w:space="0" w:color="auto"/>
              <w:bottom w:val="single" w:sz="6" w:space="0" w:color="auto"/>
              <w:right w:val="nil"/>
            </w:tcBorders>
            <w:vAlign w:val="center"/>
          </w:tcPr>
          <w:p w14:paraId="32F035A5" w14:textId="77777777" w:rsidR="00DA1034" w:rsidRPr="00785ACF" w:rsidRDefault="00DA1034" w:rsidP="0029492A">
            <w:pPr>
              <w:jc w:val="center"/>
              <w:rPr>
                <w:sz w:val="20"/>
                <w:szCs w:val="20"/>
              </w:rPr>
            </w:pPr>
            <w:r w:rsidRPr="00785ACF">
              <w:rPr>
                <w:sz w:val="20"/>
                <w:szCs w:val="20"/>
              </w:rPr>
              <w:t>2008</w:t>
            </w:r>
          </w:p>
        </w:tc>
        <w:tc>
          <w:tcPr>
            <w:tcW w:w="640" w:type="dxa"/>
            <w:tcBorders>
              <w:top w:val="nil"/>
              <w:left w:val="nil"/>
              <w:bottom w:val="single" w:sz="6" w:space="0" w:color="auto"/>
              <w:right w:val="nil"/>
            </w:tcBorders>
            <w:vAlign w:val="center"/>
          </w:tcPr>
          <w:p w14:paraId="4446C0B3" w14:textId="77777777" w:rsidR="00DA1034" w:rsidRPr="00785ACF" w:rsidRDefault="00DA1034" w:rsidP="0029492A">
            <w:pPr>
              <w:jc w:val="center"/>
              <w:rPr>
                <w:sz w:val="20"/>
                <w:szCs w:val="20"/>
              </w:rPr>
            </w:pPr>
            <w:r w:rsidRPr="00785ACF">
              <w:rPr>
                <w:sz w:val="20"/>
                <w:szCs w:val="20"/>
              </w:rPr>
              <w:t>2009</w:t>
            </w:r>
          </w:p>
        </w:tc>
        <w:tc>
          <w:tcPr>
            <w:tcW w:w="641" w:type="dxa"/>
            <w:tcBorders>
              <w:top w:val="nil"/>
              <w:left w:val="nil"/>
              <w:bottom w:val="single" w:sz="6" w:space="0" w:color="auto"/>
              <w:right w:val="nil"/>
            </w:tcBorders>
            <w:vAlign w:val="center"/>
          </w:tcPr>
          <w:p w14:paraId="695B70FC" w14:textId="77777777" w:rsidR="00DA1034" w:rsidRPr="00785ACF" w:rsidRDefault="00DA1034" w:rsidP="0029492A">
            <w:pPr>
              <w:jc w:val="center"/>
              <w:rPr>
                <w:sz w:val="20"/>
                <w:szCs w:val="20"/>
              </w:rPr>
            </w:pPr>
            <w:r w:rsidRPr="00785ACF">
              <w:rPr>
                <w:sz w:val="20"/>
                <w:szCs w:val="20"/>
              </w:rPr>
              <w:t>2010</w:t>
            </w:r>
          </w:p>
        </w:tc>
        <w:tc>
          <w:tcPr>
            <w:tcW w:w="640" w:type="dxa"/>
            <w:tcBorders>
              <w:top w:val="nil"/>
              <w:left w:val="nil"/>
              <w:bottom w:val="single" w:sz="6" w:space="0" w:color="auto"/>
              <w:right w:val="nil"/>
            </w:tcBorders>
            <w:vAlign w:val="center"/>
          </w:tcPr>
          <w:p w14:paraId="740A6B34" w14:textId="77777777" w:rsidR="00DA1034" w:rsidRPr="00785ACF" w:rsidRDefault="00DA1034" w:rsidP="0029492A">
            <w:pPr>
              <w:jc w:val="center"/>
              <w:rPr>
                <w:sz w:val="20"/>
                <w:szCs w:val="20"/>
              </w:rPr>
            </w:pPr>
            <w:r w:rsidRPr="00785ACF">
              <w:rPr>
                <w:sz w:val="20"/>
                <w:szCs w:val="20"/>
              </w:rPr>
              <w:t>2011</w:t>
            </w:r>
          </w:p>
        </w:tc>
        <w:tc>
          <w:tcPr>
            <w:tcW w:w="641" w:type="dxa"/>
            <w:tcBorders>
              <w:top w:val="nil"/>
              <w:left w:val="nil"/>
              <w:bottom w:val="single" w:sz="6" w:space="0" w:color="auto"/>
              <w:right w:val="single" w:sz="6" w:space="0" w:color="auto"/>
            </w:tcBorders>
            <w:vAlign w:val="center"/>
          </w:tcPr>
          <w:p w14:paraId="4EBFAD2A" w14:textId="77777777" w:rsidR="00DA1034" w:rsidRPr="00785ACF" w:rsidRDefault="00DA1034" w:rsidP="0029492A">
            <w:pPr>
              <w:jc w:val="center"/>
              <w:rPr>
                <w:sz w:val="20"/>
                <w:szCs w:val="20"/>
              </w:rPr>
            </w:pPr>
            <w:r w:rsidRPr="00785ACF">
              <w:rPr>
                <w:sz w:val="20"/>
                <w:szCs w:val="20"/>
              </w:rPr>
              <w:t>2012</w:t>
            </w:r>
          </w:p>
        </w:tc>
        <w:tc>
          <w:tcPr>
            <w:tcW w:w="640" w:type="dxa"/>
            <w:tcBorders>
              <w:top w:val="nil"/>
              <w:left w:val="single" w:sz="6" w:space="0" w:color="auto"/>
              <w:bottom w:val="single" w:sz="6" w:space="0" w:color="auto"/>
              <w:right w:val="nil"/>
            </w:tcBorders>
            <w:vAlign w:val="center"/>
          </w:tcPr>
          <w:p w14:paraId="2A630717" w14:textId="77777777" w:rsidR="00DA1034" w:rsidRPr="00785ACF" w:rsidRDefault="00DA1034" w:rsidP="0029492A">
            <w:pPr>
              <w:contextualSpacing/>
              <w:jc w:val="center"/>
              <w:rPr>
                <w:sz w:val="20"/>
                <w:szCs w:val="20"/>
              </w:rPr>
            </w:pPr>
            <w:r w:rsidRPr="00785ACF">
              <w:rPr>
                <w:sz w:val="20"/>
                <w:szCs w:val="20"/>
              </w:rPr>
              <w:t>2008</w:t>
            </w:r>
          </w:p>
        </w:tc>
        <w:tc>
          <w:tcPr>
            <w:tcW w:w="640" w:type="dxa"/>
            <w:tcBorders>
              <w:top w:val="nil"/>
              <w:left w:val="nil"/>
              <w:bottom w:val="single" w:sz="6" w:space="0" w:color="auto"/>
              <w:right w:val="nil"/>
            </w:tcBorders>
            <w:vAlign w:val="center"/>
          </w:tcPr>
          <w:p w14:paraId="3413C73C" w14:textId="77777777" w:rsidR="00DA1034" w:rsidRPr="00785ACF" w:rsidRDefault="00DA1034" w:rsidP="0029492A">
            <w:pPr>
              <w:contextualSpacing/>
              <w:jc w:val="center"/>
              <w:rPr>
                <w:sz w:val="20"/>
                <w:szCs w:val="20"/>
              </w:rPr>
            </w:pPr>
            <w:r w:rsidRPr="00785ACF">
              <w:rPr>
                <w:sz w:val="20"/>
                <w:szCs w:val="20"/>
              </w:rPr>
              <w:t>2009</w:t>
            </w:r>
          </w:p>
        </w:tc>
        <w:tc>
          <w:tcPr>
            <w:tcW w:w="641" w:type="dxa"/>
            <w:tcBorders>
              <w:top w:val="nil"/>
              <w:left w:val="nil"/>
              <w:bottom w:val="single" w:sz="6" w:space="0" w:color="auto"/>
              <w:right w:val="nil"/>
            </w:tcBorders>
            <w:vAlign w:val="center"/>
          </w:tcPr>
          <w:p w14:paraId="75CF2661" w14:textId="77777777" w:rsidR="00DA1034" w:rsidRPr="00785ACF" w:rsidRDefault="00DA1034" w:rsidP="0029492A">
            <w:pPr>
              <w:contextualSpacing/>
              <w:jc w:val="center"/>
              <w:rPr>
                <w:sz w:val="20"/>
                <w:szCs w:val="20"/>
              </w:rPr>
            </w:pPr>
            <w:r w:rsidRPr="00785ACF">
              <w:rPr>
                <w:sz w:val="20"/>
                <w:szCs w:val="20"/>
              </w:rPr>
              <w:t>2010</w:t>
            </w:r>
          </w:p>
        </w:tc>
        <w:tc>
          <w:tcPr>
            <w:tcW w:w="640" w:type="dxa"/>
            <w:tcBorders>
              <w:top w:val="nil"/>
              <w:left w:val="nil"/>
              <w:bottom w:val="single" w:sz="6" w:space="0" w:color="auto"/>
              <w:right w:val="nil"/>
            </w:tcBorders>
            <w:vAlign w:val="center"/>
          </w:tcPr>
          <w:p w14:paraId="2700526C" w14:textId="77777777" w:rsidR="00DA1034" w:rsidRPr="00785ACF" w:rsidRDefault="00DA1034" w:rsidP="0029492A">
            <w:pPr>
              <w:contextualSpacing/>
              <w:jc w:val="center"/>
              <w:rPr>
                <w:sz w:val="20"/>
                <w:szCs w:val="20"/>
              </w:rPr>
            </w:pPr>
            <w:r w:rsidRPr="00785ACF">
              <w:rPr>
                <w:sz w:val="20"/>
                <w:szCs w:val="20"/>
              </w:rPr>
              <w:t>2011</w:t>
            </w:r>
          </w:p>
        </w:tc>
        <w:tc>
          <w:tcPr>
            <w:tcW w:w="641" w:type="dxa"/>
            <w:tcBorders>
              <w:top w:val="nil"/>
              <w:left w:val="nil"/>
              <w:bottom w:val="single" w:sz="6" w:space="0" w:color="auto"/>
            </w:tcBorders>
            <w:vAlign w:val="center"/>
          </w:tcPr>
          <w:p w14:paraId="5266C463" w14:textId="77777777" w:rsidR="00DA1034" w:rsidRPr="00785ACF" w:rsidRDefault="00DA1034" w:rsidP="0029492A">
            <w:pPr>
              <w:contextualSpacing/>
              <w:jc w:val="center"/>
              <w:rPr>
                <w:sz w:val="20"/>
                <w:szCs w:val="20"/>
              </w:rPr>
            </w:pPr>
            <w:r w:rsidRPr="00785ACF">
              <w:rPr>
                <w:sz w:val="20"/>
                <w:szCs w:val="20"/>
              </w:rPr>
              <w:t>2012</w:t>
            </w:r>
          </w:p>
        </w:tc>
      </w:tr>
      <w:tr w:rsidR="00CA361F" w:rsidRPr="00785ACF" w14:paraId="457E32F2" w14:textId="77777777" w:rsidTr="0029492A">
        <w:trPr>
          <w:jc w:val="center"/>
        </w:trPr>
        <w:tc>
          <w:tcPr>
            <w:tcW w:w="2688" w:type="dxa"/>
            <w:tcBorders>
              <w:top w:val="nil"/>
              <w:left w:val="nil"/>
              <w:bottom w:val="nil"/>
              <w:right w:val="single" w:sz="6" w:space="0" w:color="auto"/>
            </w:tcBorders>
            <w:vAlign w:val="center"/>
          </w:tcPr>
          <w:p w14:paraId="5EA93B38"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Northern Territory</w:t>
            </w:r>
          </w:p>
        </w:tc>
        <w:tc>
          <w:tcPr>
            <w:tcW w:w="640" w:type="dxa"/>
            <w:tcBorders>
              <w:top w:val="nil"/>
              <w:left w:val="single" w:sz="6" w:space="0" w:color="auto"/>
              <w:bottom w:val="nil"/>
              <w:right w:val="nil"/>
            </w:tcBorders>
            <w:vAlign w:val="center"/>
          </w:tcPr>
          <w:p w14:paraId="1D51CB3B" w14:textId="77777777" w:rsidR="00CA361F" w:rsidRPr="00B40A8F" w:rsidRDefault="00CA361F" w:rsidP="00CA361F">
            <w:pPr>
              <w:jc w:val="center"/>
              <w:rPr>
                <w:sz w:val="20"/>
                <w:szCs w:val="32"/>
              </w:rPr>
            </w:pPr>
            <w:r w:rsidRPr="00B40A8F">
              <w:rPr>
                <w:sz w:val="20"/>
                <w:szCs w:val="32"/>
              </w:rPr>
              <w:t>0.71</w:t>
            </w:r>
          </w:p>
        </w:tc>
        <w:tc>
          <w:tcPr>
            <w:tcW w:w="640" w:type="dxa"/>
            <w:tcBorders>
              <w:top w:val="nil"/>
              <w:left w:val="nil"/>
              <w:bottom w:val="nil"/>
              <w:right w:val="nil"/>
            </w:tcBorders>
            <w:vAlign w:val="center"/>
          </w:tcPr>
          <w:p w14:paraId="65EE61E2" w14:textId="77777777" w:rsidR="00CA361F" w:rsidRPr="00B40A8F" w:rsidRDefault="00CA361F" w:rsidP="00CA361F">
            <w:pPr>
              <w:jc w:val="center"/>
              <w:rPr>
                <w:sz w:val="20"/>
                <w:szCs w:val="32"/>
              </w:rPr>
            </w:pPr>
            <w:r w:rsidRPr="00B40A8F">
              <w:rPr>
                <w:sz w:val="20"/>
                <w:szCs w:val="32"/>
              </w:rPr>
              <w:t>0.89</w:t>
            </w:r>
          </w:p>
        </w:tc>
        <w:tc>
          <w:tcPr>
            <w:tcW w:w="641" w:type="dxa"/>
            <w:tcBorders>
              <w:top w:val="nil"/>
              <w:left w:val="nil"/>
              <w:bottom w:val="nil"/>
              <w:right w:val="nil"/>
            </w:tcBorders>
            <w:vAlign w:val="center"/>
          </w:tcPr>
          <w:p w14:paraId="052E17F0" w14:textId="77777777" w:rsidR="00CA361F" w:rsidRPr="00B40A8F" w:rsidRDefault="00CA361F" w:rsidP="00CA361F">
            <w:pPr>
              <w:jc w:val="center"/>
              <w:rPr>
                <w:sz w:val="20"/>
                <w:szCs w:val="32"/>
              </w:rPr>
            </w:pPr>
            <w:r w:rsidRPr="00B40A8F">
              <w:rPr>
                <w:sz w:val="20"/>
                <w:szCs w:val="32"/>
              </w:rPr>
              <w:t>0.79</w:t>
            </w:r>
          </w:p>
        </w:tc>
        <w:tc>
          <w:tcPr>
            <w:tcW w:w="640" w:type="dxa"/>
            <w:tcBorders>
              <w:top w:val="nil"/>
              <w:left w:val="nil"/>
              <w:bottom w:val="nil"/>
              <w:right w:val="nil"/>
            </w:tcBorders>
            <w:vAlign w:val="center"/>
          </w:tcPr>
          <w:p w14:paraId="5458F6D4" w14:textId="77777777" w:rsidR="00CA361F" w:rsidRPr="00B40A8F" w:rsidRDefault="00CA361F" w:rsidP="00CA361F">
            <w:pPr>
              <w:jc w:val="center"/>
              <w:rPr>
                <w:sz w:val="20"/>
                <w:szCs w:val="32"/>
              </w:rPr>
            </w:pPr>
            <w:r w:rsidRPr="00B40A8F">
              <w:rPr>
                <w:sz w:val="20"/>
                <w:szCs w:val="32"/>
              </w:rPr>
              <w:t>0.81</w:t>
            </w:r>
          </w:p>
        </w:tc>
        <w:tc>
          <w:tcPr>
            <w:tcW w:w="641" w:type="dxa"/>
            <w:tcBorders>
              <w:top w:val="nil"/>
              <w:left w:val="nil"/>
              <w:bottom w:val="nil"/>
              <w:right w:val="single" w:sz="6" w:space="0" w:color="auto"/>
            </w:tcBorders>
            <w:vAlign w:val="center"/>
          </w:tcPr>
          <w:p w14:paraId="7401F609" w14:textId="77777777" w:rsidR="00CA361F" w:rsidRPr="00B40A8F" w:rsidRDefault="00CA361F" w:rsidP="00CA361F">
            <w:pPr>
              <w:jc w:val="center"/>
              <w:rPr>
                <w:sz w:val="20"/>
                <w:szCs w:val="32"/>
              </w:rPr>
            </w:pPr>
            <w:r w:rsidRPr="00B40A8F">
              <w:rPr>
                <w:sz w:val="20"/>
                <w:szCs w:val="32"/>
              </w:rPr>
              <w:t>0.78</w:t>
            </w:r>
          </w:p>
        </w:tc>
        <w:tc>
          <w:tcPr>
            <w:tcW w:w="640" w:type="dxa"/>
            <w:tcBorders>
              <w:top w:val="nil"/>
              <w:left w:val="single" w:sz="6" w:space="0" w:color="auto"/>
              <w:bottom w:val="nil"/>
              <w:right w:val="nil"/>
            </w:tcBorders>
            <w:vAlign w:val="center"/>
          </w:tcPr>
          <w:p w14:paraId="0A489B01" w14:textId="77777777" w:rsidR="00CA361F" w:rsidRPr="00785ACF" w:rsidRDefault="00CA361F" w:rsidP="00CA361F">
            <w:pPr>
              <w:contextualSpacing/>
              <w:jc w:val="center"/>
              <w:rPr>
                <w:sz w:val="20"/>
                <w:szCs w:val="20"/>
              </w:rPr>
            </w:pPr>
            <w:r w:rsidRPr="00785ACF">
              <w:rPr>
                <w:sz w:val="20"/>
                <w:szCs w:val="20"/>
              </w:rPr>
              <w:t>0.72</w:t>
            </w:r>
          </w:p>
        </w:tc>
        <w:tc>
          <w:tcPr>
            <w:tcW w:w="640" w:type="dxa"/>
            <w:tcBorders>
              <w:top w:val="nil"/>
              <w:left w:val="nil"/>
              <w:bottom w:val="nil"/>
              <w:right w:val="nil"/>
            </w:tcBorders>
            <w:vAlign w:val="center"/>
          </w:tcPr>
          <w:p w14:paraId="1E6F1FDA" w14:textId="77777777" w:rsidR="00CA361F" w:rsidRPr="00785ACF" w:rsidRDefault="00CA361F" w:rsidP="00CA361F">
            <w:pPr>
              <w:contextualSpacing/>
              <w:jc w:val="center"/>
              <w:rPr>
                <w:sz w:val="20"/>
                <w:szCs w:val="20"/>
              </w:rPr>
            </w:pPr>
            <w:r w:rsidRPr="00785ACF">
              <w:rPr>
                <w:sz w:val="20"/>
                <w:szCs w:val="20"/>
              </w:rPr>
              <w:t>0.86</w:t>
            </w:r>
          </w:p>
        </w:tc>
        <w:tc>
          <w:tcPr>
            <w:tcW w:w="641" w:type="dxa"/>
            <w:tcBorders>
              <w:top w:val="nil"/>
              <w:left w:val="nil"/>
              <w:bottom w:val="nil"/>
              <w:right w:val="nil"/>
            </w:tcBorders>
            <w:vAlign w:val="center"/>
          </w:tcPr>
          <w:p w14:paraId="2825A14C" w14:textId="77777777" w:rsidR="00CA361F" w:rsidRPr="00785ACF" w:rsidRDefault="00CA361F" w:rsidP="00CA361F">
            <w:pPr>
              <w:contextualSpacing/>
              <w:jc w:val="center"/>
              <w:rPr>
                <w:sz w:val="20"/>
                <w:szCs w:val="20"/>
              </w:rPr>
            </w:pPr>
            <w:r w:rsidRPr="00785ACF">
              <w:rPr>
                <w:sz w:val="20"/>
                <w:szCs w:val="20"/>
              </w:rPr>
              <w:t>0.78</w:t>
            </w:r>
          </w:p>
        </w:tc>
        <w:tc>
          <w:tcPr>
            <w:tcW w:w="640" w:type="dxa"/>
            <w:tcBorders>
              <w:top w:val="nil"/>
              <w:left w:val="nil"/>
              <w:bottom w:val="nil"/>
              <w:right w:val="nil"/>
            </w:tcBorders>
            <w:vAlign w:val="center"/>
          </w:tcPr>
          <w:p w14:paraId="46A9B5CE" w14:textId="77777777" w:rsidR="00CA361F" w:rsidRPr="00785ACF" w:rsidRDefault="00CA361F" w:rsidP="00CA361F">
            <w:pPr>
              <w:contextualSpacing/>
              <w:jc w:val="center"/>
              <w:rPr>
                <w:sz w:val="20"/>
                <w:szCs w:val="20"/>
              </w:rPr>
            </w:pPr>
            <w:r w:rsidRPr="00785ACF">
              <w:rPr>
                <w:sz w:val="20"/>
                <w:szCs w:val="20"/>
              </w:rPr>
              <w:t>0.79</w:t>
            </w:r>
          </w:p>
        </w:tc>
        <w:tc>
          <w:tcPr>
            <w:tcW w:w="641" w:type="dxa"/>
            <w:tcBorders>
              <w:top w:val="nil"/>
              <w:left w:val="nil"/>
              <w:bottom w:val="nil"/>
            </w:tcBorders>
            <w:vAlign w:val="center"/>
          </w:tcPr>
          <w:p w14:paraId="77B06777" w14:textId="77777777" w:rsidR="00CA361F" w:rsidRPr="00785ACF" w:rsidRDefault="00CA361F" w:rsidP="00CA361F">
            <w:pPr>
              <w:contextualSpacing/>
              <w:jc w:val="center"/>
              <w:rPr>
                <w:sz w:val="20"/>
                <w:szCs w:val="20"/>
              </w:rPr>
            </w:pPr>
            <w:r w:rsidRPr="00785ACF">
              <w:rPr>
                <w:sz w:val="20"/>
                <w:szCs w:val="20"/>
              </w:rPr>
              <w:t>0.75</w:t>
            </w:r>
          </w:p>
        </w:tc>
      </w:tr>
      <w:tr w:rsidR="00CA361F" w:rsidRPr="00785ACF" w14:paraId="2D02B47A" w14:textId="77777777" w:rsidTr="0029492A">
        <w:trPr>
          <w:jc w:val="center"/>
        </w:trPr>
        <w:tc>
          <w:tcPr>
            <w:tcW w:w="2688" w:type="dxa"/>
            <w:tcBorders>
              <w:top w:val="nil"/>
              <w:left w:val="nil"/>
              <w:bottom w:val="nil"/>
              <w:right w:val="single" w:sz="6" w:space="0" w:color="auto"/>
            </w:tcBorders>
            <w:vAlign w:val="center"/>
          </w:tcPr>
          <w:p w14:paraId="15754B5A"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Western Australia</w:t>
            </w:r>
          </w:p>
        </w:tc>
        <w:tc>
          <w:tcPr>
            <w:tcW w:w="640" w:type="dxa"/>
            <w:tcBorders>
              <w:top w:val="nil"/>
              <w:left w:val="single" w:sz="6" w:space="0" w:color="auto"/>
              <w:bottom w:val="nil"/>
              <w:right w:val="nil"/>
            </w:tcBorders>
            <w:vAlign w:val="center"/>
          </w:tcPr>
          <w:p w14:paraId="4FD88294" w14:textId="77777777" w:rsidR="00CA361F" w:rsidRPr="00B40A8F" w:rsidRDefault="00CA361F" w:rsidP="00CA361F">
            <w:pPr>
              <w:jc w:val="center"/>
              <w:rPr>
                <w:sz w:val="20"/>
                <w:szCs w:val="32"/>
              </w:rPr>
            </w:pPr>
            <w:r w:rsidRPr="00B40A8F">
              <w:rPr>
                <w:sz w:val="20"/>
                <w:szCs w:val="32"/>
              </w:rPr>
              <w:t>0.85</w:t>
            </w:r>
          </w:p>
        </w:tc>
        <w:tc>
          <w:tcPr>
            <w:tcW w:w="640" w:type="dxa"/>
            <w:tcBorders>
              <w:top w:val="nil"/>
              <w:left w:val="nil"/>
              <w:bottom w:val="nil"/>
              <w:right w:val="nil"/>
            </w:tcBorders>
            <w:vAlign w:val="center"/>
          </w:tcPr>
          <w:p w14:paraId="40163B29" w14:textId="77777777" w:rsidR="00CA361F" w:rsidRPr="00B40A8F" w:rsidRDefault="00CA361F" w:rsidP="00CA361F">
            <w:pPr>
              <w:jc w:val="center"/>
              <w:rPr>
                <w:sz w:val="20"/>
                <w:szCs w:val="32"/>
              </w:rPr>
            </w:pPr>
            <w:r w:rsidRPr="00B40A8F">
              <w:rPr>
                <w:sz w:val="20"/>
                <w:szCs w:val="32"/>
              </w:rPr>
              <w:t>0.86</w:t>
            </w:r>
          </w:p>
        </w:tc>
        <w:tc>
          <w:tcPr>
            <w:tcW w:w="641" w:type="dxa"/>
            <w:tcBorders>
              <w:top w:val="nil"/>
              <w:left w:val="nil"/>
              <w:bottom w:val="nil"/>
              <w:right w:val="nil"/>
            </w:tcBorders>
            <w:vAlign w:val="center"/>
          </w:tcPr>
          <w:p w14:paraId="2FE8741B" w14:textId="77777777" w:rsidR="00CA361F" w:rsidRPr="00B40A8F" w:rsidRDefault="00CA361F" w:rsidP="00CA361F">
            <w:pPr>
              <w:jc w:val="center"/>
              <w:rPr>
                <w:sz w:val="20"/>
                <w:szCs w:val="32"/>
              </w:rPr>
            </w:pPr>
            <w:r w:rsidRPr="00B40A8F">
              <w:rPr>
                <w:sz w:val="20"/>
                <w:szCs w:val="32"/>
              </w:rPr>
              <w:t>0.87</w:t>
            </w:r>
          </w:p>
        </w:tc>
        <w:tc>
          <w:tcPr>
            <w:tcW w:w="640" w:type="dxa"/>
            <w:tcBorders>
              <w:top w:val="nil"/>
              <w:left w:val="nil"/>
              <w:bottom w:val="nil"/>
              <w:right w:val="nil"/>
            </w:tcBorders>
            <w:vAlign w:val="center"/>
          </w:tcPr>
          <w:p w14:paraId="03BAEBFB" w14:textId="77777777" w:rsidR="00CA361F" w:rsidRPr="00B40A8F" w:rsidRDefault="00CA361F" w:rsidP="00CA361F">
            <w:pPr>
              <w:jc w:val="center"/>
              <w:rPr>
                <w:sz w:val="20"/>
                <w:szCs w:val="32"/>
              </w:rPr>
            </w:pPr>
            <w:r w:rsidRPr="00B40A8F">
              <w:rPr>
                <w:sz w:val="20"/>
                <w:szCs w:val="32"/>
              </w:rPr>
              <w:t>0.85</w:t>
            </w:r>
          </w:p>
        </w:tc>
        <w:tc>
          <w:tcPr>
            <w:tcW w:w="641" w:type="dxa"/>
            <w:tcBorders>
              <w:top w:val="nil"/>
              <w:left w:val="nil"/>
              <w:bottom w:val="nil"/>
              <w:right w:val="single" w:sz="6" w:space="0" w:color="auto"/>
            </w:tcBorders>
            <w:vAlign w:val="center"/>
          </w:tcPr>
          <w:p w14:paraId="34FBAA31" w14:textId="77777777" w:rsidR="00CA361F" w:rsidRPr="00B40A8F" w:rsidRDefault="00CA361F" w:rsidP="00CA361F">
            <w:pPr>
              <w:jc w:val="center"/>
              <w:rPr>
                <w:sz w:val="20"/>
                <w:szCs w:val="32"/>
              </w:rPr>
            </w:pPr>
            <w:r w:rsidRPr="00B40A8F">
              <w:rPr>
                <w:sz w:val="20"/>
                <w:szCs w:val="32"/>
              </w:rPr>
              <w:t>0.85</w:t>
            </w:r>
          </w:p>
        </w:tc>
        <w:tc>
          <w:tcPr>
            <w:tcW w:w="640" w:type="dxa"/>
            <w:tcBorders>
              <w:top w:val="nil"/>
              <w:left w:val="single" w:sz="6" w:space="0" w:color="auto"/>
              <w:bottom w:val="nil"/>
              <w:right w:val="nil"/>
            </w:tcBorders>
            <w:vAlign w:val="center"/>
          </w:tcPr>
          <w:p w14:paraId="35BCE182" w14:textId="77777777" w:rsidR="00CA361F" w:rsidRPr="00785ACF" w:rsidRDefault="00CA361F" w:rsidP="00CA361F">
            <w:pPr>
              <w:contextualSpacing/>
              <w:jc w:val="center"/>
              <w:rPr>
                <w:sz w:val="20"/>
                <w:szCs w:val="20"/>
              </w:rPr>
            </w:pPr>
            <w:r w:rsidRPr="00785ACF">
              <w:rPr>
                <w:sz w:val="20"/>
                <w:szCs w:val="20"/>
              </w:rPr>
              <w:t>0.84</w:t>
            </w:r>
          </w:p>
        </w:tc>
        <w:tc>
          <w:tcPr>
            <w:tcW w:w="640" w:type="dxa"/>
            <w:tcBorders>
              <w:top w:val="nil"/>
              <w:left w:val="nil"/>
              <w:bottom w:val="nil"/>
              <w:right w:val="nil"/>
            </w:tcBorders>
            <w:vAlign w:val="center"/>
          </w:tcPr>
          <w:p w14:paraId="2A240B8C" w14:textId="77777777" w:rsidR="00CA361F" w:rsidRPr="00785ACF" w:rsidRDefault="00CA361F" w:rsidP="00CA361F">
            <w:pPr>
              <w:contextualSpacing/>
              <w:jc w:val="center"/>
              <w:rPr>
                <w:sz w:val="20"/>
                <w:szCs w:val="20"/>
              </w:rPr>
            </w:pPr>
            <w:r w:rsidRPr="00785ACF">
              <w:rPr>
                <w:sz w:val="20"/>
                <w:szCs w:val="20"/>
              </w:rPr>
              <w:t>0.83</w:t>
            </w:r>
          </w:p>
        </w:tc>
        <w:tc>
          <w:tcPr>
            <w:tcW w:w="641" w:type="dxa"/>
            <w:tcBorders>
              <w:top w:val="nil"/>
              <w:left w:val="nil"/>
              <w:bottom w:val="nil"/>
              <w:right w:val="nil"/>
            </w:tcBorders>
            <w:vAlign w:val="center"/>
          </w:tcPr>
          <w:p w14:paraId="43DBD319" w14:textId="77777777" w:rsidR="00CA361F" w:rsidRPr="00785ACF" w:rsidRDefault="00CA361F" w:rsidP="00CA361F">
            <w:pPr>
              <w:contextualSpacing/>
              <w:jc w:val="center"/>
              <w:rPr>
                <w:sz w:val="20"/>
                <w:szCs w:val="20"/>
              </w:rPr>
            </w:pPr>
            <w:r w:rsidRPr="00785ACF">
              <w:rPr>
                <w:sz w:val="20"/>
                <w:szCs w:val="20"/>
              </w:rPr>
              <w:t>0.86</w:t>
            </w:r>
          </w:p>
        </w:tc>
        <w:tc>
          <w:tcPr>
            <w:tcW w:w="640" w:type="dxa"/>
            <w:tcBorders>
              <w:top w:val="nil"/>
              <w:left w:val="nil"/>
              <w:bottom w:val="nil"/>
              <w:right w:val="nil"/>
            </w:tcBorders>
            <w:vAlign w:val="center"/>
          </w:tcPr>
          <w:p w14:paraId="633E4CBB" w14:textId="77777777" w:rsidR="00CA361F" w:rsidRPr="00785ACF" w:rsidRDefault="00CA361F" w:rsidP="00CA361F">
            <w:pPr>
              <w:contextualSpacing/>
              <w:jc w:val="center"/>
              <w:rPr>
                <w:sz w:val="20"/>
                <w:szCs w:val="20"/>
              </w:rPr>
            </w:pPr>
            <w:r w:rsidRPr="00785ACF">
              <w:rPr>
                <w:sz w:val="20"/>
                <w:szCs w:val="20"/>
              </w:rPr>
              <w:t>0.84</w:t>
            </w:r>
          </w:p>
        </w:tc>
        <w:tc>
          <w:tcPr>
            <w:tcW w:w="641" w:type="dxa"/>
            <w:tcBorders>
              <w:top w:val="nil"/>
              <w:left w:val="nil"/>
              <w:bottom w:val="nil"/>
            </w:tcBorders>
            <w:vAlign w:val="center"/>
          </w:tcPr>
          <w:p w14:paraId="68129C4A" w14:textId="77777777" w:rsidR="00CA361F" w:rsidRPr="00785ACF" w:rsidRDefault="00CA361F" w:rsidP="00CA361F">
            <w:pPr>
              <w:contextualSpacing/>
              <w:jc w:val="center"/>
              <w:rPr>
                <w:sz w:val="20"/>
                <w:szCs w:val="20"/>
              </w:rPr>
            </w:pPr>
            <w:r w:rsidRPr="00785ACF">
              <w:rPr>
                <w:sz w:val="20"/>
                <w:szCs w:val="20"/>
              </w:rPr>
              <w:t>0.83</w:t>
            </w:r>
          </w:p>
        </w:tc>
      </w:tr>
      <w:tr w:rsidR="00CA361F" w:rsidRPr="00785ACF" w14:paraId="37740A28" w14:textId="77777777" w:rsidTr="0029492A">
        <w:trPr>
          <w:jc w:val="center"/>
        </w:trPr>
        <w:tc>
          <w:tcPr>
            <w:tcW w:w="2688" w:type="dxa"/>
            <w:tcBorders>
              <w:top w:val="nil"/>
              <w:left w:val="nil"/>
              <w:bottom w:val="nil"/>
              <w:right w:val="single" w:sz="6" w:space="0" w:color="auto"/>
            </w:tcBorders>
            <w:vAlign w:val="center"/>
          </w:tcPr>
          <w:p w14:paraId="5BD26DE2"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Queensland</w:t>
            </w:r>
          </w:p>
        </w:tc>
        <w:tc>
          <w:tcPr>
            <w:tcW w:w="640" w:type="dxa"/>
            <w:tcBorders>
              <w:top w:val="nil"/>
              <w:left w:val="single" w:sz="6" w:space="0" w:color="auto"/>
              <w:bottom w:val="nil"/>
              <w:right w:val="nil"/>
            </w:tcBorders>
            <w:vAlign w:val="center"/>
          </w:tcPr>
          <w:p w14:paraId="32CE4E78" w14:textId="77777777" w:rsidR="00CA361F" w:rsidRPr="00B40A8F" w:rsidRDefault="00CA361F" w:rsidP="00CA361F">
            <w:pPr>
              <w:jc w:val="center"/>
              <w:rPr>
                <w:sz w:val="20"/>
                <w:szCs w:val="32"/>
              </w:rPr>
            </w:pPr>
            <w:r w:rsidRPr="00B40A8F">
              <w:rPr>
                <w:sz w:val="20"/>
                <w:szCs w:val="32"/>
              </w:rPr>
              <w:t>0.95</w:t>
            </w:r>
          </w:p>
        </w:tc>
        <w:tc>
          <w:tcPr>
            <w:tcW w:w="640" w:type="dxa"/>
            <w:tcBorders>
              <w:top w:val="nil"/>
              <w:left w:val="nil"/>
              <w:bottom w:val="nil"/>
              <w:right w:val="nil"/>
            </w:tcBorders>
            <w:vAlign w:val="center"/>
          </w:tcPr>
          <w:p w14:paraId="2FA5237E" w14:textId="77777777" w:rsidR="00CA361F" w:rsidRPr="00B40A8F" w:rsidRDefault="00CA361F" w:rsidP="00CA361F">
            <w:pPr>
              <w:jc w:val="center"/>
              <w:rPr>
                <w:sz w:val="20"/>
                <w:szCs w:val="32"/>
              </w:rPr>
            </w:pPr>
            <w:r w:rsidRPr="00B40A8F">
              <w:rPr>
                <w:sz w:val="20"/>
                <w:szCs w:val="32"/>
              </w:rPr>
              <w:t>0.94</w:t>
            </w:r>
          </w:p>
        </w:tc>
        <w:tc>
          <w:tcPr>
            <w:tcW w:w="641" w:type="dxa"/>
            <w:tcBorders>
              <w:top w:val="nil"/>
              <w:left w:val="nil"/>
              <w:bottom w:val="nil"/>
              <w:right w:val="nil"/>
            </w:tcBorders>
            <w:vAlign w:val="center"/>
          </w:tcPr>
          <w:p w14:paraId="6D4F60B4" w14:textId="77777777" w:rsidR="00CA361F" w:rsidRPr="00B40A8F" w:rsidRDefault="00CA361F" w:rsidP="00CA361F">
            <w:pPr>
              <w:jc w:val="center"/>
              <w:rPr>
                <w:sz w:val="20"/>
                <w:szCs w:val="32"/>
              </w:rPr>
            </w:pPr>
            <w:r w:rsidRPr="00B40A8F">
              <w:rPr>
                <w:sz w:val="20"/>
                <w:szCs w:val="32"/>
              </w:rPr>
              <w:t>0.93</w:t>
            </w:r>
          </w:p>
        </w:tc>
        <w:tc>
          <w:tcPr>
            <w:tcW w:w="640" w:type="dxa"/>
            <w:tcBorders>
              <w:top w:val="nil"/>
              <w:left w:val="nil"/>
              <w:bottom w:val="nil"/>
              <w:right w:val="nil"/>
            </w:tcBorders>
            <w:vAlign w:val="center"/>
          </w:tcPr>
          <w:p w14:paraId="193DC19E" w14:textId="77777777" w:rsidR="00CA361F" w:rsidRPr="00B40A8F" w:rsidRDefault="00CA361F" w:rsidP="00CA361F">
            <w:pPr>
              <w:jc w:val="center"/>
              <w:rPr>
                <w:sz w:val="20"/>
                <w:szCs w:val="32"/>
              </w:rPr>
            </w:pPr>
            <w:r w:rsidRPr="00B40A8F">
              <w:rPr>
                <w:sz w:val="20"/>
                <w:szCs w:val="32"/>
              </w:rPr>
              <w:t>0.93</w:t>
            </w:r>
          </w:p>
        </w:tc>
        <w:tc>
          <w:tcPr>
            <w:tcW w:w="641" w:type="dxa"/>
            <w:tcBorders>
              <w:top w:val="nil"/>
              <w:left w:val="nil"/>
              <w:bottom w:val="nil"/>
              <w:right w:val="single" w:sz="6" w:space="0" w:color="auto"/>
            </w:tcBorders>
            <w:vAlign w:val="center"/>
          </w:tcPr>
          <w:p w14:paraId="71399759" w14:textId="77777777" w:rsidR="00CA361F" w:rsidRPr="00B40A8F" w:rsidRDefault="00CA361F" w:rsidP="00CA361F">
            <w:pPr>
              <w:jc w:val="center"/>
              <w:rPr>
                <w:sz w:val="20"/>
                <w:szCs w:val="32"/>
              </w:rPr>
            </w:pPr>
            <w:r w:rsidRPr="00B40A8F">
              <w:rPr>
                <w:sz w:val="20"/>
                <w:szCs w:val="32"/>
              </w:rPr>
              <w:t>0.92</w:t>
            </w:r>
          </w:p>
        </w:tc>
        <w:tc>
          <w:tcPr>
            <w:tcW w:w="640" w:type="dxa"/>
            <w:tcBorders>
              <w:top w:val="nil"/>
              <w:left w:val="single" w:sz="6" w:space="0" w:color="auto"/>
              <w:bottom w:val="nil"/>
              <w:right w:val="nil"/>
            </w:tcBorders>
            <w:vAlign w:val="center"/>
          </w:tcPr>
          <w:p w14:paraId="49702013" w14:textId="77777777" w:rsidR="00CA361F" w:rsidRPr="00785ACF" w:rsidRDefault="00CA361F" w:rsidP="00CA361F">
            <w:pPr>
              <w:contextualSpacing/>
              <w:jc w:val="center"/>
              <w:rPr>
                <w:sz w:val="20"/>
                <w:szCs w:val="20"/>
              </w:rPr>
            </w:pPr>
            <w:r w:rsidRPr="00785ACF">
              <w:rPr>
                <w:sz w:val="20"/>
                <w:szCs w:val="20"/>
              </w:rPr>
              <w:t>0.94</w:t>
            </w:r>
          </w:p>
        </w:tc>
        <w:tc>
          <w:tcPr>
            <w:tcW w:w="640" w:type="dxa"/>
            <w:tcBorders>
              <w:top w:val="nil"/>
              <w:left w:val="nil"/>
              <w:bottom w:val="nil"/>
              <w:right w:val="nil"/>
            </w:tcBorders>
            <w:vAlign w:val="center"/>
          </w:tcPr>
          <w:p w14:paraId="6D8B64B9" w14:textId="77777777" w:rsidR="00CA361F" w:rsidRPr="00785ACF" w:rsidRDefault="00CA361F" w:rsidP="00CA361F">
            <w:pPr>
              <w:contextualSpacing/>
              <w:jc w:val="center"/>
              <w:rPr>
                <w:sz w:val="20"/>
                <w:szCs w:val="20"/>
              </w:rPr>
            </w:pPr>
            <w:r w:rsidRPr="00785ACF">
              <w:rPr>
                <w:sz w:val="20"/>
                <w:szCs w:val="20"/>
              </w:rPr>
              <w:t>0.92</w:t>
            </w:r>
          </w:p>
        </w:tc>
        <w:tc>
          <w:tcPr>
            <w:tcW w:w="641" w:type="dxa"/>
            <w:tcBorders>
              <w:top w:val="nil"/>
              <w:left w:val="nil"/>
              <w:bottom w:val="nil"/>
              <w:right w:val="nil"/>
            </w:tcBorders>
            <w:vAlign w:val="center"/>
          </w:tcPr>
          <w:p w14:paraId="17A3F5A9" w14:textId="77777777" w:rsidR="00CA361F" w:rsidRPr="00785ACF" w:rsidRDefault="00CA361F" w:rsidP="00CA361F">
            <w:pPr>
              <w:contextualSpacing/>
              <w:jc w:val="center"/>
              <w:rPr>
                <w:sz w:val="20"/>
                <w:szCs w:val="20"/>
              </w:rPr>
            </w:pPr>
            <w:r w:rsidRPr="00785ACF">
              <w:rPr>
                <w:sz w:val="20"/>
                <w:szCs w:val="20"/>
              </w:rPr>
              <w:t>0.93</w:t>
            </w:r>
          </w:p>
        </w:tc>
        <w:tc>
          <w:tcPr>
            <w:tcW w:w="640" w:type="dxa"/>
            <w:tcBorders>
              <w:top w:val="nil"/>
              <w:left w:val="nil"/>
              <w:bottom w:val="nil"/>
              <w:right w:val="nil"/>
            </w:tcBorders>
            <w:vAlign w:val="center"/>
          </w:tcPr>
          <w:p w14:paraId="08140FF7" w14:textId="77777777" w:rsidR="00CA361F" w:rsidRPr="00785ACF" w:rsidRDefault="00CA361F" w:rsidP="00CA361F">
            <w:pPr>
              <w:contextualSpacing/>
              <w:jc w:val="center"/>
              <w:rPr>
                <w:sz w:val="20"/>
                <w:szCs w:val="20"/>
              </w:rPr>
            </w:pPr>
            <w:r w:rsidRPr="00785ACF">
              <w:rPr>
                <w:sz w:val="20"/>
                <w:szCs w:val="20"/>
              </w:rPr>
              <w:t>0.92</w:t>
            </w:r>
          </w:p>
        </w:tc>
        <w:tc>
          <w:tcPr>
            <w:tcW w:w="641" w:type="dxa"/>
            <w:tcBorders>
              <w:top w:val="nil"/>
              <w:left w:val="nil"/>
              <w:bottom w:val="nil"/>
            </w:tcBorders>
            <w:vAlign w:val="center"/>
          </w:tcPr>
          <w:p w14:paraId="04B539B8" w14:textId="77777777" w:rsidR="00CA361F" w:rsidRPr="00785ACF" w:rsidRDefault="00CA361F" w:rsidP="00CA361F">
            <w:pPr>
              <w:contextualSpacing/>
              <w:jc w:val="center"/>
              <w:rPr>
                <w:sz w:val="20"/>
                <w:szCs w:val="20"/>
              </w:rPr>
            </w:pPr>
            <w:r w:rsidRPr="00785ACF">
              <w:rPr>
                <w:sz w:val="20"/>
                <w:szCs w:val="20"/>
              </w:rPr>
              <w:t>0.90</w:t>
            </w:r>
          </w:p>
        </w:tc>
      </w:tr>
      <w:tr w:rsidR="00CA361F" w:rsidRPr="00785ACF" w14:paraId="06642FB2" w14:textId="77777777" w:rsidTr="0029492A">
        <w:trPr>
          <w:jc w:val="center"/>
        </w:trPr>
        <w:tc>
          <w:tcPr>
            <w:tcW w:w="2688" w:type="dxa"/>
            <w:tcBorders>
              <w:top w:val="nil"/>
              <w:left w:val="nil"/>
              <w:bottom w:val="nil"/>
              <w:right w:val="single" w:sz="6" w:space="0" w:color="auto"/>
            </w:tcBorders>
            <w:vAlign w:val="center"/>
          </w:tcPr>
          <w:p w14:paraId="79B670DA"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New South Wales</w:t>
            </w:r>
          </w:p>
        </w:tc>
        <w:tc>
          <w:tcPr>
            <w:tcW w:w="640" w:type="dxa"/>
            <w:tcBorders>
              <w:top w:val="nil"/>
              <w:left w:val="single" w:sz="6" w:space="0" w:color="auto"/>
              <w:bottom w:val="nil"/>
              <w:right w:val="nil"/>
            </w:tcBorders>
            <w:vAlign w:val="center"/>
          </w:tcPr>
          <w:p w14:paraId="6714509B" w14:textId="77777777" w:rsidR="00CA361F" w:rsidRPr="00B40A8F" w:rsidRDefault="00CA361F" w:rsidP="00CA361F">
            <w:pPr>
              <w:jc w:val="center"/>
              <w:rPr>
                <w:sz w:val="20"/>
                <w:szCs w:val="32"/>
              </w:rPr>
            </w:pPr>
            <w:r w:rsidRPr="00B40A8F">
              <w:rPr>
                <w:sz w:val="20"/>
                <w:szCs w:val="32"/>
              </w:rPr>
              <w:t>0.94</w:t>
            </w:r>
          </w:p>
        </w:tc>
        <w:tc>
          <w:tcPr>
            <w:tcW w:w="640" w:type="dxa"/>
            <w:tcBorders>
              <w:top w:val="nil"/>
              <w:left w:val="nil"/>
              <w:bottom w:val="nil"/>
              <w:right w:val="nil"/>
            </w:tcBorders>
            <w:vAlign w:val="center"/>
          </w:tcPr>
          <w:p w14:paraId="11653C6D" w14:textId="77777777" w:rsidR="00CA361F" w:rsidRPr="00B40A8F" w:rsidRDefault="00CA361F" w:rsidP="00CA361F">
            <w:pPr>
              <w:jc w:val="center"/>
              <w:rPr>
                <w:sz w:val="20"/>
                <w:szCs w:val="32"/>
              </w:rPr>
            </w:pPr>
            <w:r w:rsidRPr="00B40A8F">
              <w:rPr>
                <w:sz w:val="20"/>
                <w:szCs w:val="32"/>
              </w:rPr>
              <w:t>0.94</w:t>
            </w:r>
          </w:p>
        </w:tc>
        <w:tc>
          <w:tcPr>
            <w:tcW w:w="641" w:type="dxa"/>
            <w:tcBorders>
              <w:top w:val="nil"/>
              <w:left w:val="nil"/>
              <w:bottom w:val="nil"/>
              <w:right w:val="nil"/>
            </w:tcBorders>
            <w:vAlign w:val="center"/>
          </w:tcPr>
          <w:p w14:paraId="73CBED92" w14:textId="77777777" w:rsidR="00CA361F" w:rsidRPr="00B40A8F" w:rsidRDefault="00CA361F" w:rsidP="00CA361F">
            <w:pPr>
              <w:jc w:val="center"/>
              <w:rPr>
                <w:sz w:val="20"/>
                <w:szCs w:val="32"/>
              </w:rPr>
            </w:pPr>
            <w:r w:rsidRPr="00B40A8F">
              <w:rPr>
                <w:sz w:val="20"/>
                <w:szCs w:val="32"/>
              </w:rPr>
              <w:t>0.95</w:t>
            </w:r>
          </w:p>
        </w:tc>
        <w:tc>
          <w:tcPr>
            <w:tcW w:w="640" w:type="dxa"/>
            <w:tcBorders>
              <w:top w:val="nil"/>
              <w:left w:val="nil"/>
              <w:bottom w:val="nil"/>
              <w:right w:val="nil"/>
            </w:tcBorders>
            <w:vAlign w:val="center"/>
          </w:tcPr>
          <w:p w14:paraId="71660148" w14:textId="77777777" w:rsidR="00CA361F" w:rsidRPr="00B40A8F" w:rsidRDefault="00CA361F" w:rsidP="00CA361F">
            <w:pPr>
              <w:jc w:val="center"/>
              <w:rPr>
                <w:sz w:val="20"/>
                <w:szCs w:val="32"/>
              </w:rPr>
            </w:pPr>
            <w:r w:rsidRPr="00B40A8F">
              <w:rPr>
                <w:sz w:val="20"/>
                <w:szCs w:val="32"/>
              </w:rPr>
              <w:t>0.94</w:t>
            </w:r>
          </w:p>
        </w:tc>
        <w:tc>
          <w:tcPr>
            <w:tcW w:w="641" w:type="dxa"/>
            <w:tcBorders>
              <w:top w:val="nil"/>
              <w:left w:val="nil"/>
              <w:bottom w:val="nil"/>
              <w:right w:val="single" w:sz="6" w:space="0" w:color="auto"/>
            </w:tcBorders>
            <w:vAlign w:val="center"/>
          </w:tcPr>
          <w:p w14:paraId="714C221C" w14:textId="77777777" w:rsidR="00CA361F" w:rsidRPr="00B40A8F" w:rsidRDefault="00CA361F" w:rsidP="00CA361F">
            <w:pPr>
              <w:jc w:val="center"/>
              <w:rPr>
                <w:sz w:val="20"/>
                <w:szCs w:val="32"/>
              </w:rPr>
            </w:pPr>
            <w:r w:rsidRPr="00B40A8F">
              <w:rPr>
                <w:sz w:val="20"/>
                <w:szCs w:val="32"/>
              </w:rPr>
              <w:t>0.94</w:t>
            </w:r>
          </w:p>
        </w:tc>
        <w:tc>
          <w:tcPr>
            <w:tcW w:w="640" w:type="dxa"/>
            <w:tcBorders>
              <w:top w:val="nil"/>
              <w:left w:val="single" w:sz="6" w:space="0" w:color="auto"/>
              <w:bottom w:val="nil"/>
              <w:right w:val="nil"/>
            </w:tcBorders>
            <w:vAlign w:val="center"/>
          </w:tcPr>
          <w:p w14:paraId="10C58F3A" w14:textId="77777777" w:rsidR="00CA361F" w:rsidRPr="00785ACF" w:rsidRDefault="00CA361F" w:rsidP="00CA361F">
            <w:pPr>
              <w:contextualSpacing/>
              <w:jc w:val="center"/>
              <w:rPr>
                <w:sz w:val="20"/>
                <w:szCs w:val="20"/>
              </w:rPr>
            </w:pPr>
            <w:r w:rsidRPr="00785ACF">
              <w:rPr>
                <w:sz w:val="20"/>
                <w:szCs w:val="20"/>
              </w:rPr>
              <w:t>0.92</w:t>
            </w:r>
          </w:p>
        </w:tc>
        <w:tc>
          <w:tcPr>
            <w:tcW w:w="640" w:type="dxa"/>
            <w:tcBorders>
              <w:top w:val="nil"/>
              <w:left w:val="nil"/>
              <w:bottom w:val="nil"/>
              <w:right w:val="nil"/>
            </w:tcBorders>
            <w:vAlign w:val="center"/>
          </w:tcPr>
          <w:p w14:paraId="06144BB6" w14:textId="77777777" w:rsidR="00CA361F" w:rsidRPr="00785ACF" w:rsidRDefault="00CA361F" w:rsidP="00CA361F">
            <w:pPr>
              <w:contextualSpacing/>
              <w:jc w:val="center"/>
              <w:rPr>
                <w:sz w:val="20"/>
                <w:szCs w:val="20"/>
              </w:rPr>
            </w:pPr>
            <w:r w:rsidRPr="00785ACF">
              <w:rPr>
                <w:sz w:val="20"/>
                <w:szCs w:val="20"/>
              </w:rPr>
              <w:t>0.94</w:t>
            </w:r>
          </w:p>
        </w:tc>
        <w:tc>
          <w:tcPr>
            <w:tcW w:w="641" w:type="dxa"/>
            <w:tcBorders>
              <w:top w:val="nil"/>
              <w:left w:val="nil"/>
              <w:bottom w:val="nil"/>
              <w:right w:val="nil"/>
            </w:tcBorders>
            <w:vAlign w:val="center"/>
          </w:tcPr>
          <w:p w14:paraId="53A93BF7" w14:textId="77777777" w:rsidR="00CA361F" w:rsidRPr="00785ACF" w:rsidRDefault="00CA361F" w:rsidP="00CA361F">
            <w:pPr>
              <w:contextualSpacing/>
              <w:jc w:val="center"/>
              <w:rPr>
                <w:sz w:val="20"/>
                <w:szCs w:val="20"/>
              </w:rPr>
            </w:pPr>
            <w:r w:rsidRPr="00785ACF">
              <w:rPr>
                <w:sz w:val="20"/>
                <w:szCs w:val="20"/>
              </w:rPr>
              <w:t>0.94</w:t>
            </w:r>
          </w:p>
        </w:tc>
        <w:tc>
          <w:tcPr>
            <w:tcW w:w="640" w:type="dxa"/>
            <w:tcBorders>
              <w:top w:val="nil"/>
              <w:left w:val="nil"/>
              <w:bottom w:val="nil"/>
              <w:right w:val="nil"/>
            </w:tcBorders>
            <w:vAlign w:val="center"/>
          </w:tcPr>
          <w:p w14:paraId="1E6E4B13" w14:textId="77777777" w:rsidR="00CA361F" w:rsidRPr="00785ACF" w:rsidRDefault="00CA361F" w:rsidP="00CA361F">
            <w:pPr>
              <w:contextualSpacing/>
              <w:jc w:val="center"/>
              <w:rPr>
                <w:sz w:val="20"/>
                <w:szCs w:val="20"/>
              </w:rPr>
            </w:pPr>
            <w:r w:rsidRPr="00785ACF">
              <w:rPr>
                <w:sz w:val="20"/>
                <w:szCs w:val="20"/>
              </w:rPr>
              <w:t>0.93</w:t>
            </w:r>
          </w:p>
        </w:tc>
        <w:tc>
          <w:tcPr>
            <w:tcW w:w="641" w:type="dxa"/>
            <w:tcBorders>
              <w:top w:val="nil"/>
              <w:left w:val="nil"/>
              <w:bottom w:val="nil"/>
            </w:tcBorders>
            <w:vAlign w:val="center"/>
          </w:tcPr>
          <w:p w14:paraId="0842D14D" w14:textId="77777777" w:rsidR="00CA361F" w:rsidRPr="00785ACF" w:rsidRDefault="00CA361F" w:rsidP="00CA361F">
            <w:pPr>
              <w:contextualSpacing/>
              <w:jc w:val="center"/>
              <w:rPr>
                <w:sz w:val="20"/>
                <w:szCs w:val="20"/>
              </w:rPr>
            </w:pPr>
            <w:r w:rsidRPr="00785ACF">
              <w:rPr>
                <w:sz w:val="20"/>
                <w:szCs w:val="20"/>
              </w:rPr>
              <w:t>0.93</w:t>
            </w:r>
          </w:p>
        </w:tc>
      </w:tr>
      <w:tr w:rsidR="00CA361F" w:rsidRPr="00785ACF" w14:paraId="0EC97318" w14:textId="77777777" w:rsidTr="0029492A">
        <w:trPr>
          <w:jc w:val="center"/>
        </w:trPr>
        <w:tc>
          <w:tcPr>
            <w:tcW w:w="2688" w:type="dxa"/>
            <w:tcBorders>
              <w:top w:val="nil"/>
              <w:left w:val="nil"/>
              <w:bottom w:val="nil"/>
              <w:right w:val="single" w:sz="6" w:space="0" w:color="auto"/>
            </w:tcBorders>
            <w:vAlign w:val="center"/>
          </w:tcPr>
          <w:p w14:paraId="4C868665"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Victoria</w:t>
            </w:r>
          </w:p>
        </w:tc>
        <w:tc>
          <w:tcPr>
            <w:tcW w:w="640" w:type="dxa"/>
            <w:tcBorders>
              <w:top w:val="nil"/>
              <w:left w:val="single" w:sz="6" w:space="0" w:color="auto"/>
              <w:bottom w:val="nil"/>
              <w:right w:val="nil"/>
            </w:tcBorders>
            <w:vAlign w:val="center"/>
          </w:tcPr>
          <w:p w14:paraId="5FDEBC83" w14:textId="77777777" w:rsidR="00CA361F" w:rsidRPr="00B40A8F" w:rsidRDefault="00CA361F" w:rsidP="00CA361F">
            <w:pPr>
              <w:jc w:val="center"/>
              <w:rPr>
                <w:sz w:val="20"/>
                <w:szCs w:val="32"/>
              </w:rPr>
            </w:pPr>
            <w:r w:rsidRPr="00B40A8F">
              <w:rPr>
                <w:sz w:val="20"/>
                <w:szCs w:val="32"/>
              </w:rPr>
              <w:t>0.90</w:t>
            </w:r>
          </w:p>
        </w:tc>
        <w:tc>
          <w:tcPr>
            <w:tcW w:w="640" w:type="dxa"/>
            <w:tcBorders>
              <w:top w:val="nil"/>
              <w:left w:val="nil"/>
              <w:bottom w:val="nil"/>
              <w:right w:val="nil"/>
            </w:tcBorders>
            <w:vAlign w:val="center"/>
          </w:tcPr>
          <w:p w14:paraId="7EF2D609" w14:textId="77777777" w:rsidR="00CA361F" w:rsidRPr="00B40A8F" w:rsidRDefault="00CA361F" w:rsidP="00CA361F">
            <w:pPr>
              <w:jc w:val="center"/>
              <w:rPr>
                <w:sz w:val="20"/>
                <w:szCs w:val="32"/>
              </w:rPr>
            </w:pPr>
            <w:r w:rsidRPr="00B40A8F">
              <w:rPr>
                <w:sz w:val="20"/>
                <w:szCs w:val="32"/>
              </w:rPr>
              <w:t>0.90</w:t>
            </w:r>
          </w:p>
        </w:tc>
        <w:tc>
          <w:tcPr>
            <w:tcW w:w="641" w:type="dxa"/>
            <w:tcBorders>
              <w:top w:val="nil"/>
              <w:left w:val="nil"/>
              <w:bottom w:val="nil"/>
              <w:right w:val="nil"/>
            </w:tcBorders>
            <w:vAlign w:val="center"/>
          </w:tcPr>
          <w:p w14:paraId="450A1F6A" w14:textId="77777777" w:rsidR="00CA361F" w:rsidRPr="00B40A8F" w:rsidRDefault="00CA361F" w:rsidP="00CA361F">
            <w:pPr>
              <w:jc w:val="center"/>
              <w:rPr>
                <w:sz w:val="20"/>
                <w:szCs w:val="32"/>
              </w:rPr>
            </w:pPr>
            <w:r w:rsidRPr="00B40A8F">
              <w:rPr>
                <w:sz w:val="20"/>
                <w:szCs w:val="32"/>
              </w:rPr>
              <w:t>0.85</w:t>
            </w:r>
          </w:p>
        </w:tc>
        <w:tc>
          <w:tcPr>
            <w:tcW w:w="640" w:type="dxa"/>
            <w:tcBorders>
              <w:top w:val="nil"/>
              <w:left w:val="nil"/>
              <w:bottom w:val="nil"/>
              <w:right w:val="nil"/>
            </w:tcBorders>
            <w:vAlign w:val="center"/>
          </w:tcPr>
          <w:p w14:paraId="306400FF" w14:textId="77777777" w:rsidR="00CA361F" w:rsidRPr="00B40A8F" w:rsidRDefault="00CA361F" w:rsidP="00CA361F">
            <w:pPr>
              <w:jc w:val="center"/>
              <w:rPr>
                <w:sz w:val="20"/>
                <w:szCs w:val="32"/>
              </w:rPr>
            </w:pPr>
            <w:r w:rsidRPr="00B40A8F">
              <w:rPr>
                <w:sz w:val="20"/>
                <w:szCs w:val="32"/>
              </w:rPr>
              <w:t>0.88</w:t>
            </w:r>
          </w:p>
        </w:tc>
        <w:tc>
          <w:tcPr>
            <w:tcW w:w="641" w:type="dxa"/>
            <w:tcBorders>
              <w:top w:val="nil"/>
              <w:left w:val="nil"/>
              <w:bottom w:val="nil"/>
              <w:right w:val="single" w:sz="6" w:space="0" w:color="auto"/>
            </w:tcBorders>
            <w:vAlign w:val="center"/>
          </w:tcPr>
          <w:p w14:paraId="0787082A" w14:textId="77777777" w:rsidR="00CA361F" w:rsidRPr="00B40A8F" w:rsidRDefault="00CA361F" w:rsidP="00CA361F">
            <w:pPr>
              <w:jc w:val="center"/>
              <w:rPr>
                <w:sz w:val="20"/>
                <w:szCs w:val="32"/>
              </w:rPr>
            </w:pPr>
            <w:r w:rsidRPr="00B40A8F">
              <w:rPr>
                <w:sz w:val="20"/>
                <w:szCs w:val="32"/>
              </w:rPr>
              <w:t>0.89</w:t>
            </w:r>
          </w:p>
        </w:tc>
        <w:tc>
          <w:tcPr>
            <w:tcW w:w="640" w:type="dxa"/>
            <w:tcBorders>
              <w:top w:val="nil"/>
              <w:left w:val="single" w:sz="6" w:space="0" w:color="auto"/>
              <w:bottom w:val="nil"/>
              <w:right w:val="nil"/>
            </w:tcBorders>
            <w:vAlign w:val="center"/>
          </w:tcPr>
          <w:p w14:paraId="6250D858" w14:textId="77777777" w:rsidR="00CA361F" w:rsidRPr="00785ACF" w:rsidRDefault="00CA361F" w:rsidP="00CA361F">
            <w:pPr>
              <w:contextualSpacing/>
              <w:jc w:val="center"/>
              <w:rPr>
                <w:sz w:val="20"/>
                <w:szCs w:val="20"/>
              </w:rPr>
            </w:pPr>
            <w:r w:rsidRPr="00785ACF">
              <w:rPr>
                <w:sz w:val="20"/>
                <w:szCs w:val="20"/>
              </w:rPr>
              <w:t>0.89</w:t>
            </w:r>
          </w:p>
        </w:tc>
        <w:tc>
          <w:tcPr>
            <w:tcW w:w="640" w:type="dxa"/>
            <w:tcBorders>
              <w:top w:val="nil"/>
              <w:left w:val="nil"/>
              <w:bottom w:val="nil"/>
              <w:right w:val="nil"/>
            </w:tcBorders>
            <w:vAlign w:val="center"/>
          </w:tcPr>
          <w:p w14:paraId="5288A4CC" w14:textId="77777777" w:rsidR="00CA361F" w:rsidRPr="00785ACF" w:rsidRDefault="00CA361F" w:rsidP="00CA361F">
            <w:pPr>
              <w:contextualSpacing/>
              <w:jc w:val="center"/>
              <w:rPr>
                <w:sz w:val="20"/>
                <w:szCs w:val="20"/>
              </w:rPr>
            </w:pPr>
            <w:r w:rsidRPr="00785ACF">
              <w:rPr>
                <w:sz w:val="20"/>
                <w:szCs w:val="20"/>
              </w:rPr>
              <w:t>0.89</w:t>
            </w:r>
          </w:p>
        </w:tc>
        <w:tc>
          <w:tcPr>
            <w:tcW w:w="641" w:type="dxa"/>
            <w:tcBorders>
              <w:top w:val="nil"/>
              <w:left w:val="nil"/>
              <w:bottom w:val="nil"/>
              <w:right w:val="nil"/>
            </w:tcBorders>
            <w:vAlign w:val="center"/>
          </w:tcPr>
          <w:p w14:paraId="5F271779" w14:textId="77777777" w:rsidR="00CA361F" w:rsidRPr="00785ACF" w:rsidRDefault="00CA361F" w:rsidP="00CA361F">
            <w:pPr>
              <w:contextualSpacing/>
              <w:jc w:val="center"/>
              <w:rPr>
                <w:sz w:val="20"/>
                <w:szCs w:val="20"/>
              </w:rPr>
            </w:pPr>
            <w:r w:rsidRPr="00785ACF">
              <w:rPr>
                <w:sz w:val="20"/>
                <w:szCs w:val="20"/>
              </w:rPr>
              <w:t>0.85</w:t>
            </w:r>
          </w:p>
        </w:tc>
        <w:tc>
          <w:tcPr>
            <w:tcW w:w="640" w:type="dxa"/>
            <w:tcBorders>
              <w:top w:val="nil"/>
              <w:left w:val="nil"/>
              <w:bottom w:val="nil"/>
              <w:right w:val="nil"/>
            </w:tcBorders>
            <w:vAlign w:val="center"/>
          </w:tcPr>
          <w:p w14:paraId="79BC7656" w14:textId="77777777" w:rsidR="00CA361F" w:rsidRPr="00785ACF" w:rsidRDefault="00CA361F" w:rsidP="00CA361F">
            <w:pPr>
              <w:contextualSpacing/>
              <w:jc w:val="center"/>
              <w:rPr>
                <w:sz w:val="20"/>
                <w:szCs w:val="20"/>
              </w:rPr>
            </w:pPr>
            <w:r w:rsidRPr="00785ACF">
              <w:rPr>
                <w:sz w:val="20"/>
                <w:szCs w:val="20"/>
              </w:rPr>
              <w:t>0.87</w:t>
            </w:r>
          </w:p>
        </w:tc>
        <w:tc>
          <w:tcPr>
            <w:tcW w:w="641" w:type="dxa"/>
            <w:tcBorders>
              <w:top w:val="nil"/>
              <w:left w:val="nil"/>
              <w:bottom w:val="nil"/>
            </w:tcBorders>
            <w:vAlign w:val="center"/>
          </w:tcPr>
          <w:p w14:paraId="4E14CB56" w14:textId="77777777" w:rsidR="00CA361F" w:rsidRPr="00785ACF" w:rsidRDefault="00CA361F" w:rsidP="00CA361F">
            <w:pPr>
              <w:contextualSpacing/>
              <w:jc w:val="center"/>
              <w:rPr>
                <w:sz w:val="20"/>
                <w:szCs w:val="20"/>
              </w:rPr>
            </w:pPr>
            <w:r w:rsidRPr="00785ACF">
              <w:rPr>
                <w:sz w:val="20"/>
                <w:szCs w:val="20"/>
              </w:rPr>
              <w:t>0.88</w:t>
            </w:r>
          </w:p>
        </w:tc>
      </w:tr>
      <w:tr w:rsidR="00CA361F" w:rsidRPr="00785ACF" w14:paraId="696F133B" w14:textId="77777777" w:rsidTr="0029492A">
        <w:trPr>
          <w:jc w:val="center"/>
        </w:trPr>
        <w:tc>
          <w:tcPr>
            <w:tcW w:w="2688" w:type="dxa"/>
            <w:tcBorders>
              <w:top w:val="nil"/>
              <w:left w:val="nil"/>
              <w:bottom w:val="nil"/>
              <w:right w:val="single" w:sz="6" w:space="0" w:color="auto"/>
            </w:tcBorders>
            <w:vAlign w:val="center"/>
          </w:tcPr>
          <w:p w14:paraId="615112D1"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South Australia</w:t>
            </w:r>
          </w:p>
        </w:tc>
        <w:tc>
          <w:tcPr>
            <w:tcW w:w="640" w:type="dxa"/>
            <w:tcBorders>
              <w:top w:val="nil"/>
              <w:left w:val="single" w:sz="6" w:space="0" w:color="auto"/>
              <w:bottom w:val="nil"/>
              <w:right w:val="nil"/>
            </w:tcBorders>
            <w:vAlign w:val="center"/>
          </w:tcPr>
          <w:p w14:paraId="7E4BD77B" w14:textId="77777777" w:rsidR="00CA361F" w:rsidRPr="00B40A8F" w:rsidRDefault="00CA361F" w:rsidP="00CA361F">
            <w:pPr>
              <w:jc w:val="center"/>
              <w:rPr>
                <w:sz w:val="20"/>
                <w:szCs w:val="32"/>
              </w:rPr>
            </w:pPr>
            <w:r w:rsidRPr="00B40A8F">
              <w:rPr>
                <w:sz w:val="20"/>
                <w:szCs w:val="32"/>
              </w:rPr>
              <w:t>0.96</w:t>
            </w:r>
          </w:p>
        </w:tc>
        <w:tc>
          <w:tcPr>
            <w:tcW w:w="640" w:type="dxa"/>
            <w:tcBorders>
              <w:top w:val="nil"/>
              <w:left w:val="nil"/>
              <w:bottom w:val="nil"/>
              <w:right w:val="nil"/>
            </w:tcBorders>
            <w:vAlign w:val="center"/>
          </w:tcPr>
          <w:p w14:paraId="3E9677AE" w14:textId="77777777" w:rsidR="00CA361F" w:rsidRPr="00B40A8F" w:rsidRDefault="00CA361F" w:rsidP="00CA361F">
            <w:pPr>
              <w:jc w:val="center"/>
              <w:rPr>
                <w:sz w:val="20"/>
                <w:szCs w:val="32"/>
              </w:rPr>
            </w:pPr>
            <w:r w:rsidRPr="00B40A8F">
              <w:rPr>
                <w:sz w:val="20"/>
                <w:szCs w:val="32"/>
              </w:rPr>
              <w:t>0.82</w:t>
            </w:r>
          </w:p>
        </w:tc>
        <w:tc>
          <w:tcPr>
            <w:tcW w:w="641" w:type="dxa"/>
            <w:tcBorders>
              <w:top w:val="nil"/>
              <w:left w:val="nil"/>
              <w:bottom w:val="nil"/>
              <w:right w:val="nil"/>
            </w:tcBorders>
            <w:vAlign w:val="center"/>
          </w:tcPr>
          <w:p w14:paraId="2D7A1A90" w14:textId="77777777" w:rsidR="00CA361F" w:rsidRPr="00B40A8F" w:rsidRDefault="00CA361F" w:rsidP="00CA361F">
            <w:pPr>
              <w:jc w:val="center"/>
              <w:rPr>
                <w:sz w:val="20"/>
                <w:szCs w:val="32"/>
              </w:rPr>
            </w:pPr>
            <w:r w:rsidRPr="00B40A8F">
              <w:rPr>
                <w:sz w:val="20"/>
                <w:szCs w:val="32"/>
              </w:rPr>
              <w:t>0.83</w:t>
            </w:r>
          </w:p>
        </w:tc>
        <w:tc>
          <w:tcPr>
            <w:tcW w:w="640" w:type="dxa"/>
            <w:tcBorders>
              <w:top w:val="nil"/>
              <w:left w:val="nil"/>
              <w:bottom w:val="nil"/>
              <w:right w:val="nil"/>
            </w:tcBorders>
            <w:vAlign w:val="center"/>
          </w:tcPr>
          <w:p w14:paraId="4059E3AC" w14:textId="77777777" w:rsidR="00CA361F" w:rsidRPr="00B40A8F" w:rsidRDefault="00CA361F" w:rsidP="00CA361F">
            <w:pPr>
              <w:jc w:val="center"/>
              <w:rPr>
                <w:sz w:val="20"/>
                <w:szCs w:val="32"/>
              </w:rPr>
            </w:pPr>
            <w:r w:rsidRPr="00B40A8F">
              <w:rPr>
                <w:sz w:val="20"/>
                <w:szCs w:val="32"/>
              </w:rPr>
              <w:t>0.81</w:t>
            </w:r>
          </w:p>
        </w:tc>
        <w:tc>
          <w:tcPr>
            <w:tcW w:w="641" w:type="dxa"/>
            <w:tcBorders>
              <w:top w:val="nil"/>
              <w:left w:val="nil"/>
              <w:bottom w:val="nil"/>
              <w:right w:val="single" w:sz="6" w:space="0" w:color="auto"/>
            </w:tcBorders>
            <w:vAlign w:val="center"/>
          </w:tcPr>
          <w:p w14:paraId="538023C3" w14:textId="77777777" w:rsidR="00CA361F" w:rsidRPr="00B40A8F" w:rsidRDefault="00CA361F" w:rsidP="00CA361F">
            <w:pPr>
              <w:jc w:val="center"/>
              <w:rPr>
                <w:sz w:val="20"/>
                <w:szCs w:val="32"/>
              </w:rPr>
            </w:pPr>
            <w:r w:rsidRPr="00B40A8F">
              <w:rPr>
                <w:sz w:val="20"/>
                <w:szCs w:val="32"/>
              </w:rPr>
              <w:t>0.84</w:t>
            </w:r>
          </w:p>
        </w:tc>
        <w:tc>
          <w:tcPr>
            <w:tcW w:w="640" w:type="dxa"/>
            <w:tcBorders>
              <w:top w:val="nil"/>
              <w:left w:val="single" w:sz="6" w:space="0" w:color="auto"/>
              <w:bottom w:val="nil"/>
              <w:right w:val="nil"/>
            </w:tcBorders>
            <w:vAlign w:val="center"/>
          </w:tcPr>
          <w:p w14:paraId="75E8C75A" w14:textId="77777777" w:rsidR="00CA361F" w:rsidRPr="00785ACF" w:rsidRDefault="00CA361F" w:rsidP="00CA361F">
            <w:pPr>
              <w:contextualSpacing/>
              <w:jc w:val="center"/>
              <w:rPr>
                <w:sz w:val="20"/>
                <w:szCs w:val="20"/>
              </w:rPr>
            </w:pPr>
            <w:r w:rsidRPr="00785ACF">
              <w:rPr>
                <w:sz w:val="20"/>
                <w:szCs w:val="20"/>
              </w:rPr>
              <w:t>0.97</w:t>
            </w:r>
          </w:p>
        </w:tc>
        <w:tc>
          <w:tcPr>
            <w:tcW w:w="640" w:type="dxa"/>
            <w:tcBorders>
              <w:top w:val="nil"/>
              <w:left w:val="nil"/>
              <w:bottom w:val="nil"/>
              <w:right w:val="nil"/>
            </w:tcBorders>
            <w:vAlign w:val="center"/>
          </w:tcPr>
          <w:p w14:paraId="7E34CDE3" w14:textId="77777777" w:rsidR="00CA361F" w:rsidRPr="00785ACF" w:rsidRDefault="00CA361F" w:rsidP="00CA361F">
            <w:pPr>
              <w:contextualSpacing/>
              <w:jc w:val="center"/>
              <w:rPr>
                <w:sz w:val="20"/>
                <w:szCs w:val="20"/>
              </w:rPr>
            </w:pPr>
            <w:r w:rsidRPr="00785ACF">
              <w:rPr>
                <w:sz w:val="20"/>
                <w:szCs w:val="20"/>
              </w:rPr>
              <w:t>0.83</w:t>
            </w:r>
          </w:p>
        </w:tc>
        <w:tc>
          <w:tcPr>
            <w:tcW w:w="641" w:type="dxa"/>
            <w:tcBorders>
              <w:top w:val="nil"/>
              <w:left w:val="nil"/>
              <w:bottom w:val="nil"/>
              <w:right w:val="nil"/>
            </w:tcBorders>
            <w:vAlign w:val="center"/>
          </w:tcPr>
          <w:p w14:paraId="4ACB89F4" w14:textId="77777777" w:rsidR="00CA361F" w:rsidRPr="00785ACF" w:rsidRDefault="00CA361F" w:rsidP="00CA361F">
            <w:pPr>
              <w:contextualSpacing/>
              <w:jc w:val="center"/>
              <w:rPr>
                <w:sz w:val="20"/>
                <w:szCs w:val="20"/>
              </w:rPr>
            </w:pPr>
            <w:r w:rsidRPr="00785ACF">
              <w:rPr>
                <w:sz w:val="20"/>
                <w:szCs w:val="20"/>
              </w:rPr>
              <w:t>0.82</w:t>
            </w:r>
          </w:p>
        </w:tc>
        <w:tc>
          <w:tcPr>
            <w:tcW w:w="640" w:type="dxa"/>
            <w:tcBorders>
              <w:top w:val="nil"/>
              <w:left w:val="nil"/>
              <w:bottom w:val="nil"/>
              <w:right w:val="nil"/>
            </w:tcBorders>
            <w:vAlign w:val="center"/>
          </w:tcPr>
          <w:p w14:paraId="7D7845A8" w14:textId="77777777" w:rsidR="00CA361F" w:rsidRPr="00785ACF" w:rsidRDefault="00CA361F" w:rsidP="00CA361F">
            <w:pPr>
              <w:contextualSpacing/>
              <w:jc w:val="center"/>
              <w:rPr>
                <w:sz w:val="20"/>
                <w:szCs w:val="20"/>
              </w:rPr>
            </w:pPr>
            <w:r w:rsidRPr="00785ACF">
              <w:rPr>
                <w:sz w:val="20"/>
                <w:szCs w:val="20"/>
              </w:rPr>
              <w:t>0.81</w:t>
            </w:r>
          </w:p>
        </w:tc>
        <w:tc>
          <w:tcPr>
            <w:tcW w:w="641" w:type="dxa"/>
            <w:tcBorders>
              <w:top w:val="nil"/>
              <w:left w:val="nil"/>
              <w:bottom w:val="nil"/>
            </w:tcBorders>
            <w:vAlign w:val="center"/>
          </w:tcPr>
          <w:p w14:paraId="0A152D14" w14:textId="77777777" w:rsidR="00CA361F" w:rsidRPr="00785ACF" w:rsidRDefault="00CA361F" w:rsidP="00CA361F">
            <w:pPr>
              <w:contextualSpacing/>
              <w:jc w:val="center"/>
              <w:rPr>
                <w:sz w:val="20"/>
                <w:szCs w:val="20"/>
              </w:rPr>
            </w:pPr>
            <w:r w:rsidRPr="00785ACF">
              <w:rPr>
                <w:sz w:val="20"/>
                <w:szCs w:val="20"/>
              </w:rPr>
              <w:t>0.85</w:t>
            </w:r>
          </w:p>
        </w:tc>
      </w:tr>
      <w:tr w:rsidR="00CA361F" w:rsidRPr="00785ACF" w14:paraId="54EA18FA" w14:textId="77777777" w:rsidTr="0029492A">
        <w:trPr>
          <w:jc w:val="center"/>
        </w:trPr>
        <w:tc>
          <w:tcPr>
            <w:tcW w:w="2688" w:type="dxa"/>
            <w:tcBorders>
              <w:top w:val="nil"/>
              <w:left w:val="nil"/>
              <w:bottom w:val="nil"/>
              <w:right w:val="single" w:sz="6" w:space="0" w:color="auto"/>
            </w:tcBorders>
            <w:vAlign w:val="center"/>
          </w:tcPr>
          <w:p w14:paraId="6541BCC3"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Tasmania</w:t>
            </w:r>
          </w:p>
        </w:tc>
        <w:tc>
          <w:tcPr>
            <w:tcW w:w="640" w:type="dxa"/>
            <w:tcBorders>
              <w:top w:val="nil"/>
              <w:left w:val="single" w:sz="6" w:space="0" w:color="auto"/>
              <w:bottom w:val="nil"/>
              <w:right w:val="nil"/>
            </w:tcBorders>
            <w:vAlign w:val="center"/>
          </w:tcPr>
          <w:p w14:paraId="25F3681F" w14:textId="77777777" w:rsidR="00CA361F" w:rsidRPr="00B40A8F" w:rsidRDefault="00CA361F" w:rsidP="00CA361F">
            <w:pPr>
              <w:jc w:val="center"/>
              <w:rPr>
                <w:sz w:val="20"/>
                <w:szCs w:val="32"/>
              </w:rPr>
            </w:pPr>
            <w:r w:rsidRPr="00B40A8F">
              <w:rPr>
                <w:sz w:val="20"/>
                <w:szCs w:val="32"/>
              </w:rPr>
              <w:t>0.97</w:t>
            </w:r>
          </w:p>
        </w:tc>
        <w:tc>
          <w:tcPr>
            <w:tcW w:w="640" w:type="dxa"/>
            <w:tcBorders>
              <w:top w:val="nil"/>
              <w:left w:val="nil"/>
              <w:bottom w:val="nil"/>
              <w:right w:val="nil"/>
            </w:tcBorders>
            <w:vAlign w:val="center"/>
          </w:tcPr>
          <w:p w14:paraId="05EE3A97" w14:textId="77777777" w:rsidR="00CA361F" w:rsidRPr="00B40A8F" w:rsidRDefault="00CA361F" w:rsidP="00CA361F">
            <w:pPr>
              <w:jc w:val="center"/>
              <w:rPr>
                <w:sz w:val="20"/>
                <w:szCs w:val="32"/>
              </w:rPr>
            </w:pPr>
            <w:r w:rsidRPr="00B40A8F">
              <w:rPr>
                <w:sz w:val="20"/>
                <w:szCs w:val="32"/>
              </w:rPr>
              <w:t>0.96</w:t>
            </w:r>
          </w:p>
        </w:tc>
        <w:tc>
          <w:tcPr>
            <w:tcW w:w="641" w:type="dxa"/>
            <w:tcBorders>
              <w:top w:val="nil"/>
              <w:left w:val="nil"/>
              <w:bottom w:val="nil"/>
              <w:right w:val="nil"/>
            </w:tcBorders>
            <w:vAlign w:val="center"/>
          </w:tcPr>
          <w:p w14:paraId="1F4A77B8" w14:textId="77777777" w:rsidR="00CA361F" w:rsidRPr="00B40A8F" w:rsidRDefault="00CA361F" w:rsidP="00CA361F">
            <w:pPr>
              <w:jc w:val="center"/>
              <w:rPr>
                <w:sz w:val="20"/>
                <w:szCs w:val="32"/>
              </w:rPr>
            </w:pPr>
            <w:r w:rsidRPr="00B40A8F">
              <w:rPr>
                <w:sz w:val="20"/>
                <w:szCs w:val="32"/>
              </w:rPr>
              <w:t>0.96</w:t>
            </w:r>
          </w:p>
        </w:tc>
        <w:tc>
          <w:tcPr>
            <w:tcW w:w="640" w:type="dxa"/>
            <w:tcBorders>
              <w:top w:val="nil"/>
              <w:left w:val="nil"/>
              <w:bottom w:val="nil"/>
              <w:right w:val="nil"/>
            </w:tcBorders>
            <w:vAlign w:val="center"/>
          </w:tcPr>
          <w:p w14:paraId="06DF7E8D" w14:textId="77777777" w:rsidR="00CA361F" w:rsidRPr="00B40A8F" w:rsidRDefault="00CA361F" w:rsidP="00CA361F">
            <w:pPr>
              <w:jc w:val="center"/>
              <w:rPr>
                <w:sz w:val="20"/>
                <w:szCs w:val="32"/>
              </w:rPr>
            </w:pPr>
            <w:r w:rsidRPr="00B40A8F">
              <w:rPr>
                <w:sz w:val="20"/>
                <w:szCs w:val="32"/>
              </w:rPr>
              <w:t>0.95</w:t>
            </w:r>
          </w:p>
        </w:tc>
        <w:tc>
          <w:tcPr>
            <w:tcW w:w="641" w:type="dxa"/>
            <w:tcBorders>
              <w:top w:val="nil"/>
              <w:left w:val="nil"/>
              <w:bottom w:val="nil"/>
              <w:right w:val="single" w:sz="6" w:space="0" w:color="auto"/>
            </w:tcBorders>
            <w:vAlign w:val="center"/>
          </w:tcPr>
          <w:p w14:paraId="47069D3F" w14:textId="77777777" w:rsidR="00CA361F" w:rsidRPr="00B40A8F" w:rsidRDefault="00CA361F" w:rsidP="00CA361F">
            <w:pPr>
              <w:jc w:val="center"/>
              <w:rPr>
                <w:sz w:val="20"/>
                <w:szCs w:val="32"/>
              </w:rPr>
            </w:pPr>
            <w:r w:rsidRPr="00B40A8F">
              <w:rPr>
                <w:sz w:val="20"/>
                <w:szCs w:val="32"/>
              </w:rPr>
              <w:t>0.96</w:t>
            </w:r>
          </w:p>
        </w:tc>
        <w:tc>
          <w:tcPr>
            <w:tcW w:w="640" w:type="dxa"/>
            <w:tcBorders>
              <w:top w:val="nil"/>
              <w:left w:val="single" w:sz="6" w:space="0" w:color="auto"/>
              <w:bottom w:val="nil"/>
              <w:right w:val="nil"/>
            </w:tcBorders>
            <w:vAlign w:val="center"/>
          </w:tcPr>
          <w:p w14:paraId="63CB524D" w14:textId="77777777" w:rsidR="00CA361F" w:rsidRPr="00785ACF" w:rsidRDefault="00CA361F" w:rsidP="00CA361F">
            <w:pPr>
              <w:contextualSpacing/>
              <w:jc w:val="center"/>
              <w:rPr>
                <w:sz w:val="20"/>
                <w:szCs w:val="20"/>
              </w:rPr>
            </w:pPr>
            <w:r w:rsidRPr="00785ACF">
              <w:rPr>
                <w:sz w:val="20"/>
                <w:szCs w:val="20"/>
              </w:rPr>
              <w:t>0.95</w:t>
            </w:r>
          </w:p>
        </w:tc>
        <w:tc>
          <w:tcPr>
            <w:tcW w:w="640" w:type="dxa"/>
            <w:tcBorders>
              <w:top w:val="nil"/>
              <w:left w:val="nil"/>
              <w:bottom w:val="nil"/>
              <w:right w:val="nil"/>
            </w:tcBorders>
            <w:vAlign w:val="center"/>
          </w:tcPr>
          <w:p w14:paraId="0A213AB4" w14:textId="77777777" w:rsidR="00CA361F" w:rsidRPr="00785ACF" w:rsidRDefault="00CA361F" w:rsidP="00CA361F">
            <w:pPr>
              <w:contextualSpacing/>
              <w:jc w:val="center"/>
              <w:rPr>
                <w:sz w:val="20"/>
                <w:szCs w:val="20"/>
              </w:rPr>
            </w:pPr>
            <w:r w:rsidRPr="00785ACF">
              <w:rPr>
                <w:sz w:val="20"/>
                <w:szCs w:val="20"/>
              </w:rPr>
              <w:t>0.96</w:t>
            </w:r>
          </w:p>
        </w:tc>
        <w:tc>
          <w:tcPr>
            <w:tcW w:w="641" w:type="dxa"/>
            <w:tcBorders>
              <w:top w:val="nil"/>
              <w:left w:val="nil"/>
              <w:bottom w:val="nil"/>
              <w:right w:val="nil"/>
            </w:tcBorders>
            <w:vAlign w:val="center"/>
          </w:tcPr>
          <w:p w14:paraId="37D5BFFE" w14:textId="77777777" w:rsidR="00CA361F" w:rsidRPr="00785ACF" w:rsidRDefault="00CA361F" w:rsidP="00CA361F">
            <w:pPr>
              <w:contextualSpacing/>
              <w:jc w:val="center"/>
              <w:rPr>
                <w:sz w:val="20"/>
                <w:szCs w:val="20"/>
              </w:rPr>
            </w:pPr>
            <w:r w:rsidRPr="00785ACF">
              <w:rPr>
                <w:sz w:val="20"/>
                <w:szCs w:val="20"/>
              </w:rPr>
              <w:t>0.96</w:t>
            </w:r>
          </w:p>
        </w:tc>
        <w:tc>
          <w:tcPr>
            <w:tcW w:w="640" w:type="dxa"/>
            <w:tcBorders>
              <w:top w:val="nil"/>
              <w:left w:val="nil"/>
              <w:bottom w:val="nil"/>
              <w:right w:val="nil"/>
            </w:tcBorders>
            <w:vAlign w:val="center"/>
          </w:tcPr>
          <w:p w14:paraId="1E333A62" w14:textId="77777777" w:rsidR="00CA361F" w:rsidRPr="00785ACF" w:rsidRDefault="00CA361F" w:rsidP="00CA361F">
            <w:pPr>
              <w:contextualSpacing/>
              <w:jc w:val="center"/>
              <w:rPr>
                <w:sz w:val="20"/>
                <w:szCs w:val="20"/>
              </w:rPr>
            </w:pPr>
            <w:r w:rsidRPr="00785ACF">
              <w:rPr>
                <w:sz w:val="20"/>
                <w:szCs w:val="20"/>
              </w:rPr>
              <w:t>0.94</w:t>
            </w:r>
          </w:p>
        </w:tc>
        <w:tc>
          <w:tcPr>
            <w:tcW w:w="641" w:type="dxa"/>
            <w:tcBorders>
              <w:top w:val="nil"/>
              <w:left w:val="nil"/>
              <w:bottom w:val="nil"/>
            </w:tcBorders>
            <w:vAlign w:val="center"/>
          </w:tcPr>
          <w:p w14:paraId="2E53838A" w14:textId="77777777" w:rsidR="00CA361F" w:rsidRPr="00785ACF" w:rsidRDefault="00CA361F" w:rsidP="00CA361F">
            <w:pPr>
              <w:contextualSpacing/>
              <w:jc w:val="center"/>
              <w:rPr>
                <w:sz w:val="20"/>
                <w:szCs w:val="20"/>
              </w:rPr>
            </w:pPr>
            <w:r w:rsidRPr="00785ACF">
              <w:rPr>
                <w:sz w:val="20"/>
                <w:szCs w:val="20"/>
              </w:rPr>
              <w:t>0.95</w:t>
            </w:r>
          </w:p>
        </w:tc>
      </w:tr>
      <w:tr w:rsidR="00CA361F" w:rsidRPr="00785ACF" w14:paraId="476C7B48" w14:textId="77777777" w:rsidTr="0029492A">
        <w:trPr>
          <w:jc w:val="center"/>
        </w:trPr>
        <w:tc>
          <w:tcPr>
            <w:tcW w:w="2688" w:type="dxa"/>
            <w:tcBorders>
              <w:top w:val="nil"/>
              <w:left w:val="nil"/>
              <w:bottom w:val="single" w:sz="6" w:space="0" w:color="auto"/>
              <w:right w:val="single" w:sz="6" w:space="0" w:color="auto"/>
            </w:tcBorders>
            <w:vAlign w:val="center"/>
          </w:tcPr>
          <w:p w14:paraId="33CD127A"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Australian Capital Territory</w:t>
            </w:r>
          </w:p>
        </w:tc>
        <w:tc>
          <w:tcPr>
            <w:tcW w:w="640" w:type="dxa"/>
            <w:tcBorders>
              <w:top w:val="nil"/>
              <w:left w:val="single" w:sz="6" w:space="0" w:color="auto"/>
              <w:bottom w:val="single" w:sz="6" w:space="0" w:color="auto"/>
              <w:right w:val="nil"/>
            </w:tcBorders>
            <w:vAlign w:val="center"/>
          </w:tcPr>
          <w:p w14:paraId="5D4A9C20" w14:textId="77777777" w:rsidR="00CA361F" w:rsidRPr="00B40A8F" w:rsidRDefault="00CA361F" w:rsidP="00CA361F">
            <w:pPr>
              <w:jc w:val="center"/>
              <w:rPr>
                <w:sz w:val="20"/>
                <w:szCs w:val="32"/>
              </w:rPr>
            </w:pPr>
            <w:r w:rsidRPr="00B40A8F">
              <w:rPr>
                <w:sz w:val="20"/>
                <w:szCs w:val="32"/>
              </w:rPr>
              <w:t>0.90</w:t>
            </w:r>
          </w:p>
        </w:tc>
        <w:tc>
          <w:tcPr>
            <w:tcW w:w="640" w:type="dxa"/>
            <w:tcBorders>
              <w:top w:val="nil"/>
              <w:left w:val="nil"/>
              <w:bottom w:val="single" w:sz="6" w:space="0" w:color="auto"/>
              <w:right w:val="nil"/>
            </w:tcBorders>
            <w:vAlign w:val="center"/>
          </w:tcPr>
          <w:p w14:paraId="12544E3F" w14:textId="77777777" w:rsidR="00CA361F" w:rsidRPr="00B40A8F" w:rsidRDefault="00CA361F" w:rsidP="00CA361F">
            <w:pPr>
              <w:jc w:val="center"/>
              <w:rPr>
                <w:sz w:val="20"/>
                <w:szCs w:val="32"/>
              </w:rPr>
            </w:pPr>
            <w:r w:rsidRPr="00B40A8F">
              <w:rPr>
                <w:sz w:val="20"/>
                <w:szCs w:val="32"/>
              </w:rPr>
              <w:t>0.94</w:t>
            </w:r>
          </w:p>
        </w:tc>
        <w:tc>
          <w:tcPr>
            <w:tcW w:w="641" w:type="dxa"/>
            <w:tcBorders>
              <w:top w:val="nil"/>
              <w:left w:val="nil"/>
              <w:bottom w:val="single" w:sz="6" w:space="0" w:color="auto"/>
              <w:right w:val="nil"/>
            </w:tcBorders>
            <w:vAlign w:val="center"/>
          </w:tcPr>
          <w:p w14:paraId="474A7977" w14:textId="77777777" w:rsidR="00CA361F" w:rsidRPr="00B40A8F" w:rsidRDefault="00CA361F" w:rsidP="00CA361F">
            <w:pPr>
              <w:jc w:val="center"/>
              <w:rPr>
                <w:sz w:val="20"/>
                <w:szCs w:val="32"/>
              </w:rPr>
            </w:pPr>
            <w:r w:rsidRPr="00B40A8F">
              <w:rPr>
                <w:sz w:val="20"/>
                <w:szCs w:val="32"/>
              </w:rPr>
              <w:t>0.92</w:t>
            </w:r>
          </w:p>
        </w:tc>
        <w:tc>
          <w:tcPr>
            <w:tcW w:w="640" w:type="dxa"/>
            <w:tcBorders>
              <w:top w:val="nil"/>
              <w:left w:val="nil"/>
              <w:bottom w:val="single" w:sz="6" w:space="0" w:color="auto"/>
              <w:right w:val="nil"/>
            </w:tcBorders>
            <w:vAlign w:val="center"/>
          </w:tcPr>
          <w:p w14:paraId="0F229503" w14:textId="77777777" w:rsidR="00CA361F" w:rsidRPr="00B40A8F" w:rsidRDefault="00CA361F" w:rsidP="00CA361F">
            <w:pPr>
              <w:jc w:val="center"/>
              <w:rPr>
                <w:sz w:val="20"/>
                <w:szCs w:val="32"/>
              </w:rPr>
            </w:pPr>
            <w:r w:rsidRPr="00B40A8F">
              <w:rPr>
                <w:sz w:val="20"/>
                <w:szCs w:val="32"/>
              </w:rPr>
              <w:t>0.87</w:t>
            </w:r>
          </w:p>
        </w:tc>
        <w:tc>
          <w:tcPr>
            <w:tcW w:w="641" w:type="dxa"/>
            <w:tcBorders>
              <w:top w:val="nil"/>
              <w:left w:val="nil"/>
              <w:bottom w:val="single" w:sz="6" w:space="0" w:color="auto"/>
              <w:right w:val="single" w:sz="6" w:space="0" w:color="auto"/>
            </w:tcBorders>
            <w:vAlign w:val="center"/>
          </w:tcPr>
          <w:p w14:paraId="3CBB5235" w14:textId="77777777" w:rsidR="00CA361F" w:rsidRPr="00B40A8F" w:rsidRDefault="00CA361F" w:rsidP="00CA361F">
            <w:pPr>
              <w:jc w:val="center"/>
              <w:rPr>
                <w:sz w:val="20"/>
                <w:szCs w:val="32"/>
              </w:rPr>
            </w:pPr>
            <w:r w:rsidRPr="00B40A8F">
              <w:rPr>
                <w:sz w:val="20"/>
                <w:szCs w:val="32"/>
              </w:rPr>
              <w:t>0.86</w:t>
            </w:r>
          </w:p>
        </w:tc>
        <w:tc>
          <w:tcPr>
            <w:tcW w:w="640" w:type="dxa"/>
            <w:tcBorders>
              <w:top w:val="nil"/>
              <w:left w:val="single" w:sz="6" w:space="0" w:color="auto"/>
              <w:bottom w:val="single" w:sz="6" w:space="0" w:color="auto"/>
              <w:right w:val="nil"/>
            </w:tcBorders>
            <w:vAlign w:val="center"/>
          </w:tcPr>
          <w:p w14:paraId="794D84FB" w14:textId="77777777" w:rsidR="00CA361F" w:rsidRPr="00785ACF" w:rsidRDefault="00CA361F" w:rsidP="00CA361F">
            <w:pPr>
              <w:contextualSpacing/>
              <w:jc w:val="center"/>
              <w:rPr>
                <w:sz w:val="20"/>
                <w:szCs w:val="20"/>
              </w:rPr>
            </w:pPr>
            <w:r w:rsidRPr="00785ACF">
              <w:rPr>
                <w:sz w:val="20"/>
                <w:szCs w:val="20"/>
              </w:rPr>
              <w:t>0.88</w:t>
            </w:r>
          </w:p>
        </w:tc>
        <w:tc>
          <w:tcPr>
            <w:tcW w:w="640" w:type="dxa"/>
            <w:tcBorders>
              <w:top w:val="nil"/>
              <w:left w:val="nil"/>
              <w:bottom w:val="single" w:sz="6" w:space="0" w:color="auto"/>
              <w:right w:val="nil"/>
            </w:tcBorders>
            <w:vAlign w:val="center"/>
          </w:tcPr>
          <w:p w14:paraId="2DF38732" w14:textId="77777777" w:rsidR="00CA361F" w:rsidRPr="00785ACF" w:rsidRDefault="00CA361F" w:rsidP="00CA361F">
            <w:pPr>
              <w:contextualSpacing/>
              <w:jc w:val="center"/>
              <w:rPr>
                <w:sz w:val="20"/>
                <w:szCs w:val="20"/>
              </w:rPr>
            </w:pPr>
            <w:r w:rsidRPr="00785ACF">
              <w:rPr>
                <w:sz w:val="20"/>
                <w:szCs w:val="20"/>
              </w:rPr>
              <w:t>0.92</w:t>
            </w:r>
          </w:p>
        </w:tc>
        <w:tc>
          <w:tcPr>
            <w:tcW w:w="641" w:type="dxa"/>
            <w:tcBorders>
              <w:top w:val="nil"/>
              <w:left w:val="nil"/>
              <w:bottom w:val="single" w:sz="6" w:space="0" w:color="auto"/>
              <w:right w:val="nil"/>
            </w:tcBorders>
            <w:vAlign w:val="center"/>
          </w:tcPr>
          <w:p w14:paraId="7296664C" w14:textId="77777777" w:rsidR="00CA361F" w:rsidRPr="00785ACF" w:rsidRDefault="00CA361F" w:rsidP="00CA361F">
            <w:pPr>
              <w:contextualSpacing/>
              <w:jc w:val="center"/>
              <w:rPr>
                <w:sz w:val="20"/>
                <w:szCs w:val="20"/>
              </w:rPr>
            </w:pPr>
            <w:r w:rsidRPr="00785ACF">
              <w:rPr>
                <w:sz w:val="20"/>
                <w:szCs w:val="20"/>
              </w:rPr>
              <w:t>0.92</w:t>
            </w:r>
          </w:p>
        </w:tc>
        <w:tc>
          <w:tcPr>
            <w:tcW w:w="640" w:type="dxa"/>
            <w:tcBorders>
              <w:top w:val="nil"/>
              <w:left w:val="nil"/>
              <w:bottom w:val="single" w:sz="6" w:space="0" w:color="auto"/>
              <w:right w:val="nil"/>
            </w:tcBorders>
            <w:vAlign w:val="center"/>
          </w:tcPr>
          <w:p w14:paraId="0EDF6959" w14:textId="77777777" w:rsidR="00CA361F" w:rsidRPr="00785ACF" w:rsidRDefault="00CA361F" w:rsidP="00CA361F">
            <w:pPr>
              <w:contextualSpacing/>
              <w:jc w:val="center"/>
              <w:rPr>
                <w:sz w:val="20"/>
                <w:szCs w:val="20"/>
              </w:rPr>
            </w:pPr>
            <w:r w:rsidRPr="00785ACF">
              <w:rPr>
                <w:sz w:val="20"/>
                <w:szCs w:val="20"/>
              </w:rPr>
              <w:t>0.86</w:t>
            </w:r>
          </w:p>
        </w:tc>
        <w:tc>
          <w:tcPr>
            <w:tcW w:w="641" w:type="dxa"/>
            <w:tcBorders>
              <w:top w:val="nil"/>
              <w:left w:val="nil"/>
              <w:bottom w:val="single" w:sz="6" w:space="0" w:color="auto"/>
            </w:tcBorders>
            <w:vAlign w:val="center"/>
          </w:tcPr>
          <w:p w14:paraId="2BD93900" w14:textId="77777777" w:rsidR="00CA361F" w:rsidRPr="00785ACF" w:rsidRDefault="00CA361F" w:rsidP="00CA361F">
            <w:pPr>
              <w:contextualSpacing/>
              <w:jc w:val="center"/>
              <w:rPr>
                <w:sz w:val="20"/>
                <w:szCs w:val="20"/>
              </w:rPr>
            </w:pPr>
            <w:r w:rsidRPr="00785ACF">
              <w:rPr>
                <w:sz w:val="20"/>
                <w:szCs w:val="20"/>
              </w:rPr>
              <w:t>0.87</w:t>
            </w:r>
          </w:p>
        </w:tc>
      </w:tr>
    </w:tbl>
    <w:p w14:paraId="27C26188" w14:textId="77777777" w:rsidR="00DA1034" w:rsidRDefault="00DA1034" w:rsidP="00DA1034">
      <w:pPr>
        <w:rPr>
          <w:lang w:eastAsia="en-AU"/>
        </w:rPr>
      </w:pPr>
    </w:p>
    <w:p w14:paraId="67247938" w14:textId="77777777" w:rsidR="00DA1034" w:rsidRPr="00B40A8F" w:rsidRDefault="00DA1034" w:rsidP="00CA361F">
      <w:pPr>
        <w:pStyle w:val="TableTitle"/>
      </w:pPr>
      <w:r w:rsidRPr="00B40A8F">
        <w:t>Table A</w:t>
      </w:r>
      <w:r w:rsidR="00CA361F">
        <w:t>2</w:t>
      </w:r>
      <w:r w:rsidRPr="00B40A8F">
        <w:t xml:space="preserve">: Grade 5 </w:t>
      </w:r>
      <w:r w:rsidR="00CA361F">
        <w:t>participation rates</w:t>
      </w:r>
    </w:p>
    <w:tbl>
      <w:tblPr>
        <w:tblW w:w="9092" w:type="dxa"/>
        <w:jc w:val="center"/>
        <w:tblLayout w:type="fixed"/>
        <w:tblCellMar>
          <w:left w:w="0" w:type="dxa"/>
          <w:right w:w="0" w:type="dxa"/>
        </w:tblCellMar>
        <w:tblLook w:val="0000" w:firstRow="0" w:lastRow="0" w:firstColumn="0" w:lastColumn="0" w:noHBand="0" w:noVBand="0"/>
      </w:tblPr>
      <w:tblGrid>
        <w:gridCol w:w="2688"/>
        <w:gridCol w:w="640"/>
        <w:gridCol w:w="640"/>
        <w:gridCol w:w="641"/>
        <w:gridCol w:w="640"/>
        <w:gridCol w:w="641"/>
        <w:gridCol w:w="640"/>
        <w:gridCol w:w="640"/>
        <w:gridCol w:w="641"/>
        <w:gridCol w:w="640"/>
        <w:gridCol w:w="641"/>
      </w:tblGrid>
      <w:tr w:rsidR="00DA1034" w:rsidRPr="00785ACF" w14:paraId="670C82AB" w14:textId="77777777" w:rsidTr="0029492A">
        <w:trPr>
          <w:jc w:val="center"/>
        </w:trPr>
        <w:tc>
          <w:tcPr>
            <w:tcW w:w="2688" w:type="dxa"/>
            <w:tcBorders>
              <w:top w:val="double" w:sz="6" w:space="0" w:color="auto"/>
              <w:left w:val="nil"/>
              <w:bottom w:val="single" w:sz="6" w:space="0" w:color="auto"/>
              <w:right w:val="single" w:sz="6" w:space="0" w:color="auto"/>
            </w:tcBorders>
          </w:tcPr>
          <w:p w14:paraId="7D4B38E0" w14:textId="77777777" w:rsidR="00DA1034" w:rsidRPr="00785ACF" w:rsidRDefault="00DA1034" w:rsidP="0029492A">
            <w:pPr>
              <w:contextualSpacing/>
              <w:rPr>
                <w:sz w:val="20"/>
                <w:szCs w:val="20"/>
              </w:rPr>
            </w:pPr>
          </w:p>
        </w:tc>
        <w:tc>
          <w:tcPr>
            <w:tcW w:w="3202" w:type="dxa"/>
            <w:gridSpan w:val="5"/>
            <w:tcBorders>
              <w:top w:val="double" w:sz="6" w:space="0" w:color="auto"/>
              <w:left w:val="single" w:sz="6" w:space="0" w:color="auto"/>
              <w:bottom w:val="single" w:sz="6" w:space="0" w:color="auto"/>
              <w:right w:val="single" w:sz="6" w:space="0" w:color="auto"/>
            </w:tcBorders>
            <w:vAlign w:val="center"/>
          </w:tcPr>
          <w:p w14:paraId="49D1D9EB" w14:textId="77777777" w:rsidR="00DA1034" w:rsidRPr="00785ACF" w:rsidRDefault="00CA361F" w:rsidP="0029492A">
            <w:pPr>
              <w:contextualSpacing/>
              <w:jc w:val="center"/>
              <w:rPr>
                <w:sz w:val="20"/>
                <w:szCs w:val="20"/>
              </w:rPr>
            </w:pPr>
            <w:r>
              <w:rPr>
                <w:sz w:val="20"/>
                <w:szCs w:val="20"/>
              </w:rPr>
              <w:t>Reading</w:t>
            </w:r>
          </w:p>
        </w:tc>
        <w:tc>
          <w:tcPr>
            <w:tcW w:w="3202" w:type="dxa"/>
            <w:gridSpan w:val="5"/>
            <w:tcBorders>
              <w:top w:val="double" w:sz="6" w:space="0" w:color="auto"/>
              <w:left w:val="single" w:sz="6" w:space="0" w:color="auto"/>
              <w:bottom w:val="single" w:sz="6" w:space="0" w:color="auto"/>
            </w:tcBorders>
            <w:vAlign w:val="center"/>
          </w:tcPr>
          <w:p w14:paraId="12A1DF9F" w14:textId="77777777" w:rsidR="00DA1034" w:rsidRPr="00785ACF" w:rsidRDefault="00CA361F" w:rsidP="00CA361F">
            <w:pPr>
              <w:contextualSpacing/>
              <w:jc w:val="center"/>
              <w:rPr>
                <w:sz w:val="20"/>
                <w:szCs w:val="20"/>
              </w:rPr>
            </w:pPr>
            <w:r>
              <w:rPr>
                <w:sz w:val="20"/>
                <w:szCs w:val="20"/>
              </w:rPr>
              <w:t>Numeracy</w:t>
            </w:r>
          </w:p>
        </w:tc>
      </w:tr>
      <w:tr w:rsidR="00DA1034" w:rsidRPr="00785ACF" w14:paraId="5D8661C1" w14:textId="77777777" w:rsidTr="0029492A">
        <w:trPr>
          <w:jc w:val="center"/>
        </w:trPr>
        <w:tc>
          <w:tcPr>
            <w:tcW w:w="2688" w:type="dxa"/>
            <w:tcBorders>
              <w:top w:val="nil"/>
              <w:left w:val="nil"/>
              <w:bottom w:val="single" w:sz="6" w:space="0" w:color="auto"/>
              <w:right w:val="single" w:sz="6" w:space="0" w:color="auto"/>
            </w:tcBorders>
            <w:vAlign w:val="bottom"/>
          </w:tcPr>
          <w:p w14:paraId="65FDC4E4" w14:textId="77777777" w:rsidR="00DA1034" w:rsidRPr="00785ACF" w:rsidRDefault="00DA1034" w:rsidP="0029492A">
            <w:pPr>
              <w:ind w:right="170"/>
              <w:contextualSpacing/>
              <w:jc w:val="center"/>
              <w:rPr>
                <w:i/>
                <w:iCs/>
                <w:sz w:val="20"/>
                <w:szCs w:val="20"/>
              </w:rPr>
            </w:pPr>
            <w:r w:rsidRPr="00785ACF">
              <w:rPr>
                <w:i/>
                <w:iCs/>
                <w:sz w:val="20"/>
                <w:szCs w:val="20"/>
              </w:rPr>
              <w:t>State/Territory</w:t>
            </w:r>
          </w:p>
        </w:tc>
        <w:tc>
          <w:tcPr>
            <w:tcW w:w="640" w:type="dxa"/>
            <w:tcBorders>
              <w:top w:val="nil"/>
              <w:left w:val="single" w:sz="6" w:space="0" w:color="auto"/>
              <w:bottom w:val="single" w:sz="6" w:space="0" w:color="auto"/>
              <w:right w:val="nil"/>
            </w:tcBorders>
            <w:vAlign w:val="center"/>
          </w:tcPr>
          <w:p w14:paraId="537758CF" w14:textId="77777777" w:rsidR="00DA1034" w:rsidRPr="00785ACF" w:rsidRDefault="00DA1034" w:rsidP="0029492A">
            <w:pPr>
              <w:jc w:val="center"/>
              <w:rPr>
                <w:sz w:val="20"/>
                <w:szCs w:val="20"/>
              </w:rPr>
            </w:pPr>
            <w:r w:rsidRPr="00785ACF">
              <w:rPr>
                <w:sz w:val="20"/>
                <w:szCs w:val="20"/>
              </w:rPr>
              <w:t>2008</w:t>
            </w:r>
          </w:p>
        </w:tc>
        <w:tc>
          <w:tcPr>
            <w:tcW w:w="640" w:type="dxa"/>
            <w:tcBorders>
              <w:top w:val="nil"/>
              <w:left w:val="nil"/>
              <w:bottom w:val="single" w:sz="6" w:space="0" w:color="auto"/>
              <w:right w:val="nil"/>
            </w:tcBorders>
            <w:vAlign w:val="center"/>
          </w:tcPr>
          <w:p w14:paraId="2496F250" w14:textId="77777777" w:rsidR="00DA1034" w:rsidRPr="00785ACF" w:rsidRDefault="00DA1034" w:rsidP="0029492A">
            <w:pPr>
              <w:jc w:val="center"/>
              <w:rPr>
                <w:sz w:val="20"/>
                <w:szCs w:val="20"/>
              </w:rPr>
            </w:pPr>
            <w:r w:rsidRPr="00785ACF">
              <w:rPr>
                <w:sz w:val="20"/>
                <w:szCs w:val="20"/>
              </w:rPr>
              <w:t>2009</w:t>
            </w:r>
          </w:p>
        </w:tc>
        <w:tc>
          <w:tcPr>
            <w:tcW w:w="641" w:type="dxa"/>
            <w:tcBorders>
              <w:top w:val="nil"/>
              <w:left w:val="nil"/>
              <w:bottom w:val="single" w:sz="6" w:space="0" w:color="auto"/>
              <w:right w:val="nil"/>
            </w:tcBorders>
            <w:vAlign w:val="center"/>
          </w:tcPr>
          <w:p w14:paraId="4DDABD3B" w14:textId="77777777" w:rsidR="00DA1034" w:rsidRPr="00785ACF" w:rsidRDefault="00DA1034" w:rsidP="0029492A">
            <w:pPr>
              <w:jc w:val="center"/>
              <w:rPr>
                <w:sz w:val="20"/>
                <w:szCs w:val="20"/>
              </w:rPr>
            </w:pPr>
            <w:r w:rsidRPr="00785ACF">
              <w:rPr>
                <w:sz w:val="20"/>
                <w:szCs w:val="20"/>
              </w:rPr>
              <w:t>2010</w:t>
            </w:r>
          </w:p>
        </w:tc>
        <w:tc>
          <w:tcPr>
            <w:tcW w:w="640" w:type="dxa"/>
            <w:tcBorders>
              <w:top w:val="nil"/>
              <w:left w:val="nil"/>
              <w:bottom w:val="single" w:sz="6" w:space="0" w:color="auto"/>
              <w:right w:val="nil"/>
            </w:tcBorders>
            <w:vAlign w:val="center"/>
          </w:tcPr>
          <w:p w14:paraId="5B9A55ED" w14:textId="77777777" w:rsidR="00DA1034" w:rsidRPr="00785ACF" w:rsidRDefault="00DA1034" w:rsidP="0029492A">
            <w:pPr>
              <w:jc w:val="center"/>
              <w:rPr>
                <w:sz w:val="20"/>
                <w:szCs w:val="20"/>
              </w:rPr>
            </w:pPr>
            <w:r w:rsidRPr="00785ACF">
              <w:rPr>
                <w:sz w:val="20"/>
                <w:szCs w:val="20"/>
              </w:rPr>
              <w:t>2011</w:t>
            </w:r>
          </w:p>
        </w:tc>
        <w:tc>
          <w:tcPr>
            <w:tcW w:w="641" w:type="dxa"/>
            <w:tcBorders>
              <w:top w:val="nil"/>
              <w:left w:val="nil"/>
              <w:bottom w:val="single" w:sz="6" w:space="0" w:color="auto"/>
              <w:right w:val="single" w:sz="6" w:space="0" w:color="auto"/>
            </w:tcBorders>
            <w:vAlign w:val="center"/>
          </w:tcPr>
          <w:p w14:paraId="4ADF489A" w14:textId="77777777" w:rsidR="00DA1034" w:rsidRPr="00785ACF" w:rsidRDefault="00DA1034" w:rsidP="0029492A">
            <w:pPr>
              <w:jc w:val="center"/>
              <w:rPr>
                <w:sz w:val="20"/>
                <w:szCs w:val="20"/>
              </w:rPr>
            </w:pPr>
            <w:r w:rsidRPr="00785ACF">
              <w:rPr>
                <w:sz w:val="20"/>
                <w:szCs w:val="20"/>
              </w:rPr>
              <w:t>2012</w:t>
            </w:r>
          </w:p>
        </w:tc>
        <w:tc>
          <w:tcPr>
            <w:tcW w:w="640" w:type="dxa"/>
            <w:tcBorders>
              <w:top w:val="nil"/>
              <w:left w:val="single" w:sz="6" w:space="0" w:color="auto"/>
              <w:bottom w:val="single" w:sz="6" w:space="0" w:color="auto"/>
              <w:right w:val="nil"/>
            </w:tcBorders>
            <w:vAlign w:val="center"/>
          </w:tcPr>
          <w:p w14:paraId="72F11E2C" w14:textId="77777777" w:rsidR="00DA1034" w:rsidRPr="00785ACF" w:rsidRDefault="00DA1034" w:rsidP="0029492A">
            <w:pPr>
              <w:contextualSpacing/>
              <w:jc w:val="center"/>
              <w:rPr>
                <w:sz w:val="20"/>
                <w:szCs w:val="20"/>
              </w:rPr>
            </w:pPr>
            <w:r w:rsidRPr="00785ACF">
              <w:rPr>
                <w:sz w:val="20"/>
                <w:szCs w:val="20"/>
              </w:rPr>
              <w:t>2008</w:t>
            </w:r>
          </w:p>
        </w:tc>
        <w:tc>
          <w:tcPr>
            <w:tcW w:w="640" w:type="dxa"/>
            <w:tcBorders>
              <w:top w:val="nil"/>
              <w:left w:val="nil"/>
              <w:bottom w:val="single" w:sz="6" w:space="0" w:color="auto"/>
              <w:right w:val="nil"/>
            </w:tcBorders>
            <w:vAlign w:val="center"/>
          </w:tcPr>
          <w:p w14:paraId="271F8335" w14:textId="77777777" w:rsidR="00DA1034" w:rsidRPr="00785ACF" w:rsidRDefault="00DA1034" w:rsidP="0029492A">
            <w:pPr>
              <w:contextualSpacing/>
              <w:jc w:val="center"/>
              <w:rPr>
                <w:sz w:val="20"/>
                <w:szCs w:val="20"/>
              </w:rPr>
            </w:pPr>
            <w:r w:rsidRPr="00785ACF">
              <w:rPr>
                <w:sz w:val="20"/>
                <w:szCs w:val="20"/>
              </w:rPr>
              <w:t>2009</w:t>
            </w:r>
          </w:p>
        </w:tc>
        <w:tc>
          <w:tcPr>
            <w:tcW w:w="641" w:type="dxa"/>
            <w:tcBorders>
              <w:top w:val="nil"/>
              <w:left w:val="nil"/>
              <w:bottom w:val="single" w:sz="6" w:space="0" w:color="auto"/>
              <w:right w:val="nil"/>
            </w:tcBorders>
            <w:vAlign w:val="center"/>
          </w:tcPr>
          <w:p w14:paraId="7EF96097" w14:textId="77777777" w:rsidR="00DA1034" w:rsidRPr="00785ACF" w:rsidRDefault="00DA1034" w:rsidP="0029492A">
            <w:pPr>
              <w:contextualSpacing/>
              <w:jc w:val="center"/>
              <w:rPr>
                <w:sz w:val="20"/>
                <w:szCs w:val="20"/>
              </w:rPr>
            </w:pPr>
            <w:r w:rsidRPr="00785ACF">
              <w:rPr>
                <w:sz w:val="20"/>
                <w:szCs w:val="20"/>
              </w:rPr>
              <w:t>2010</w:t>
            </w:r>
          </w:p>
        </w:tc>
        <w:tc>
          <w:tcPr>
            <w:tcW w:w="640" w:type="dxa"/>
            <w:tcBorders>
              <w:top w:val="nil"/>
              <w:left w:val="nil"/>
              <w:bottom w:val="single" w:sz="6" w:space="0" w:color="auto"/>
              <w:right w:val="nil"/>
            </w:tcBorders>
            <w:vAlign w:val="center"/>
          </w:tcPr>
          <w:p w14:paraId="3FFB86FA" w14:textId="77777777" w:rsidR="00DA1034" w:rsidRPr="00785ACF" w:rsidRDefault="00DA1034" w:rsidP="0029492A">
            <w:pPr>
              <w:contextualSpacing/>
              <w:jc w:val="center"/>
              <w:rPr>
                <w:sz w:val="20"/>
                <w:szCs w:val="20"/>
              </w:rPr>
            </w:pPr>
            <w:r w:rsidRPr="00785ACF">
              <w:rPr>
                <w:sz w:val="20"/>
                <w:szCs w:val="20"/>
              </w:rPr>
              <w:t>2011</w:t>
            </w:r>
          </w:p>
        </w:tc>
        <w:tc>
          <w:tcPr>
            <w:tcW w:w="641" w:type="dxa"/>
            <w:tcBorders>
              <w:top w:val="nil"/>
              <w:left w:val="nil"/>
              <w:bottom w:val="single" w:sz="6" w:space="0" w:color="auto"/>
            </w:tcBorders>
            <w:vAlign w:val="center"/>
          </w:tcPr>
          <w:p w14:paraId="2F76040E" w14:textId="77777777" w:rsidR="00DA1034" w:rsidRPr="00785ACF" w:rsidRDefault="00DA1034" w:rsidP="0029492A">
            <w:pPr>
              <w:contextualSpacing/>
              <w:jc w:val="center"/>
              <w:rPr>
                <w:sz w:val="20"/>
                <w:szCs w:val="20"/>
              </w:rPr>
            </w:pPr>
            <w:r w:rsidRPr="00785ACF">
              <w:rPr>
                <w:sz w:val="20"/>
                <w:szCs w:val="20"/>
              </w:rPr>
              <w:t>2012</w:t>
            </w:r>
          </w:p>
        </w:tc>
      </w:tr>
      <w:tr w:rsidR="00CA361F" w:rsidRPr="00785ACF" w14:paraId="21B4E7DD" w14:textId="77777777" w:rsidTr="0029492A">
        <w:trPr>
          <w:jc w:val="center"/>
        </w:trPr>
        <w:tc>
          <w:tcPr>
            <w:tcW w:w="2688" w:type="dxa"/>
            <w:tcBorders>
              <w:top w:val="nil"/>
              <w:left w:val="nil"/>
              <w:bottom w:val="nil"/>
              <w:right w:val="single" w:sz="6" w:space="0" w:color="auto"/>
            </w:tcBorders>
            <w:vAlign w:val="center"/>
          </w:tcPr>
          <w:p w14:paraId="07610CB2"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Northern Territory</w:t>
            </w:r>
          </w:p>
        </w:tc>
        <w:tc>
          <w:tcPr>
            <w:tcW w:w="640" w:type="dxa"/>
            <w:tcBorders>
              <w:top w:val="nil"/>
              <w:left w:val="single" w:sz="6" w:space="0" w:color="auto"/>
              <w:bottom w:val="nil"/>
              <w:right w:val="nil"/>
            </w:tcBorders>
            <w:vAlign w:val="center"/>
          </w:tcPr>
          <w:p w14:paraId="3130CB80" w14:textId="77777777" w:rsidR="00CA361F" w:rsidRPr="00B40A8F" w:rsidRDefault="00CA361F" w:rsidP="00CA361F">
            <w:pPr>
              <w:jc w:val="center"/>
              <w:rPr>
                <w:sz w:val="20"/>
                <w:szCs w:val="20"/>
              </w:rPr>
            </w:pPr>
            <w:r w:rsidRPr="00B40A8F">
              <w:rPr>
                <w:sz w:val="20"/>
                <w:szCs w:val="20"/>
              </w:rPr>
              <w:t>0.71</w:t>
            </w:r>
          </w:p>
        </w:tc>
        <w:tc>
          <w:tcPr>
            <w:tcW w:w="640" w:type="dxa"/>
            <w:tcBorders>
              <w:top w:val="nil"/>
              <w:left w:val="nil"/>
              <w:bottom w:val="nil"/>
              <w:right w:val="nil"/>
            </w:tcBorders>
            <w:vAlign w:val="center"/>
          </w:tcPr>
          <w:p w14:paraId="37FBC83D" w14:textId="77777777" w:rsidR="00CA361F" w:rsidRPr="00B40A8F" w:rsidRDefault="00CA361F" w:rsidP="00CA361F">
            <w:pPr>
              <w:jc w:val="center"/>
              <w:rPr>
                <w:sz w:val="20"/>
                <w:szCs w:val="20"/>
              </w:rPr>
            </w:pPr>
            <w:r w:rsidRPr="00B40A8F">
              <w:rPr>
                <w:sz w:val="20"/>
                <w:szCs w:val="20"/>
              </w:rPr>
              <w:t>0.92</w:t>
            </w:r>
          </w:p>
        </w:tc>
        <w:tc>
          <w:tcPr>
            <w:tcW w:w="641" w:type="dxa"/>
            <w:tcBorders>
              <w:top w:val="nil"/>
              <w:left w:val="nil"/>
              <w:bottom w:val="nil"/>
              <w:right w:val="nil"/>
            </w:tcBorders>
            <w:vAlign w:val="center"/>
          </w:tcPr>
          <w:p w14:paraId="513DA4BA" w14:textId="77777777" w:rsidR="00CA361F" w:rsidRPr="00B40A8F" w:rsidRDefault="00CA361F" w:rsidP="00CA361F">
            <w:pPr>
              <w:jc w:val="center"/>
              <w:rPr>
                <w:sz w:val="20"/>
                <w:szCs w:val="20"/>
              </w:rPr>
            </w:pPr>
            <w:r w:rsidRPr="00B40A8F">
              <w:rPr>
                <w:sz w:val="20"/>
                <w:szCs w:val="20"/>
              </w:rPr>
              <w:t>0.81</w:t>
            </w:r>
          </w:p>
        </w:tc>
        <w:tc>
          <w:tcPr>
            <w:tcW w:w="640" w:type="dxa"/>
            <w:tcBorders>
              <w:top w:val="nil"/>
              <w:left w:val="nil"/>
              <w:bottom w:val="nil"/>
              <w:right w:val="nil"/>
            </w:tcBorders>
            <w:vAlign w:val="center"/>
          </w:tcPr>
          <w:p w14:paraId="44E541DF" w14:textId="77777777" w:rsidR="00CA361F" w:rsidRPr="00B40A8F" w:rsidRDefault="00CA361F" w:rsidP="00CA361F">
            <w:pPr>
              <w:jc w:val="center"/>
              <w:rPr>
                <w:sz w:val="20"/>
                <w:szCs w:val="20"/>
              </w:rPr>
            </w:pPr>
            <w:r w:rsidRPr="00B40A8F">
              <w:rPr>
                <w:sz w:val="20"/>
                <w:szCs w:val="20"/>
              </w:rPr>
              <w:t>0.81</w:t>
            </w:r>
          </w:p>
        </w:tc>
        <w:tc>
          <w:tcPr>
            <w:tcW w:w="641" w:type="dxa"/>
            <w:tcBorders>
              <w:top w:val="nil"/>
              <w:left w:val="nil"/>
              <w:bottom w:val="nil"/>
              <w:right w:val="single" w:sz="6" w:space="0" w:color="auto"/>
            </w:tcBorders>
            <w:vAlign w:val="center"/>
          </w:tcPr>
          <w:p w14:paraId="2A1CDABC" w14:textId="77777777" w:rsidR="00CA361F" w:rsidRPr="00B40A8F" w:rsidRDefault="00CA361F" w:rsidP="00CA361F">
            <w:pPr>
              <w:jc w:val="center"/>
              <w:rPr>
                <w:sz w:val="20"/>
                <w:szCs w:val="20"/>
              </w:rPr>
            </w:pPr>
            <w:r w:rsidRPr="00B40A8F">
              <w:rPr>
                <w:sz w:val="20"/>
                <w:szCs w:val="20"/>
              </w:rPr>
              <w:t>0.80</w:t>
            </w:r>
          </w:p>
        </w:tc>
        <w:tc>
          <w:tcPr>
            <w:tcW w:w="640" w:type="dxa"/>
            <w:tcBorders>
              <w:top w:val="nil"/>
              <w:left w:val="single" w:sz="6" w:space="0" w:color="auto"/>
              <w:bottom w:val="nil"/>
              <w:right w:val="nil"/>
            </w:tcBorders>
            <w:vAlign w:val="center"/>
          </w:tcPr>
          <w:p w14:paraId="30002628" w14:textId="77777777" w:rsidR="00CA361F" w:rsidRPr="00B40A8F" w:rsidRDefault="00CA361F" w:rsidP="00CA361F">
            <w:pPr>
              <w:jc w:val="center"/>
              <w:rPr>
                <w:sz w:val="20"/>
                <w:szCs w:val="32"/>
              </w:rPr>
            </w:pPr>
            <w:r w:rsidRPr="00B40A8F">
              <w:rPr>
                <w:sz w:val="20"/>
                <w:szCs w:val="32"/>
              </w:rPr>
              <w:t>0.72</w:t>
            </w:r>
          </w:p>
        </w:tc>
        <w:tc>
          <w:tcPr>
            <w:tcW w:w="640" w:type="dxa"/>
            <w:tcBorders>
              <w:top w:val="nil"/>
              <w:left w:val="nil"/>
              <w:bottom w:val="nil"/>
              <w:right w:val="nil"/>
            </w:tcBorders>
            <w:vAlign w:val="center"/>
          </w:tcPr>
          <w:p w14:paraId="10C4876E" w14:textId="77777777" w:rsidR="00CA361F" w:rsidRPr="00B40A8F" w:rsidRDefault="00CA361F" w:rsidP="00CA361F">
            <w:pPr>
              <w:jc w:val="center"/>
              <w:rPr>
                <w:sz w:val="20"/>
                <w:szCs w:val="32"/>
              </w:rPr>
            </w:pPr>
            <w:r w:rsidRPr="00B40A8F">
              <w:rPr>
                <w:sz w:val="20"/>
                <w:szCs w:val="32"/>
              </w:rPr>
              <w:t>0.90</w:t>
            </w:r>
          </w:p>
        </w:tc>
        <w:tc>
          <w:tcPr>
            <w:tcW w:w="641" w:type="dxa"/>
            <w:tcBorders>
              <w:top w:val="nil"/>
              <w:left w:val="nil"/>
              <w:bottom w:val="nil"/>
              <w:right w:val="nil"/>
            </w:tcBorders>
            <w:vAlign w:val="center"/>
          </w:tcPr>
          <w:p w14:paraId="5E8C3198" w14:textId="77777777" w:rsidR="00CA361F" w:rsidRPr="00B40A8F" w:rsidRDefault="00CA361F" w:rsidP="00CA361F">
            <w:pPr>
              <w:jc w:val="center"/>
              <w:rPr>
                <w:sz w:val="20"/>
                <w:szCs w:val="32"/>
              </w:rPr>
            </w:pPr>
            <w:r w:rsidRPr="00B40A8F">
              <w:rPr>
                <w:sz w:val="20"/>
                <w:szCs w:val="32"/>
              </w:rPr>
              <w:t>0.79</w:t>
            </w:r>
          </w:p>
        </w:tc>
        <w:tc>
          <w:tcPr>
            <w:tcW w:w="640" w:type="dxa"/>
            <w:tcBorders>
              <w:top w:val="nil"/>
              <w:left w:val="nil"/>
              <w:bottom w:val="nil"/>
              <w:right w:val="nil"/>
            </w:tcBorders>
            <w:vAlign w:val="center"/>
          </w:tcPr>
          <w:p w14:paraId="43577B9F" w14:textId="77777777" w:rsidR="00CA361F" w:rsidRPr="00B40A8F" w:rsidRDefault="00CA361F" w:rsidP="00CA361F">
            <w:pPr>
              <w:jc w:val="center"/>
              <w:rPr>
                <w:sz w:val="20"/>
                <w:szCs w:val="32"/>
              </w:rPr>
            </w:pPr>
            <w:r w:rsidRPr="00B40A8F">
              <w:rPr>
                <w:sz w:val="20"/>
                <w:szCs w:val="32"/>
              </w:rPr>
              <w:t>0.80</w:t>
            </w:r>
          </w:p>
        </w:tc>
        <w:tc>
          <w:tcPr>
            <w:tcW w:w="641" w:type="dxa"/>
            <w:tcBorders>
              <w:top w:val="nil"/>
              <w:left w:val="nil"/>
              <w:bottom w:val="nil"/>
            </w:tcBorders>
            <w:vAlign w:val="center"/>
          </w:tcPr>
          <w:p w14:paraId="0E2E4FB7" w14:textId="77777777" w:rsidR="00CA361F" w:rsidRPr="00B40A8F" w:rsidRDefault="00CA361F" w:rsidP="00CA361F">
            <w:pPr>
              <w:jc w:val="center"/>
              <w:rPr>
                <w:sz w:val="20"/>
                <w:szCs w:val="32"/>
              </w:rPr>
            </w:pPr>
            <w:r w:rsidRPr="00B40A8F">
              <w:rPr>
                <w:sz w:val="20"/>
                <w:szCs w:val="32"/>
              </w:rPr>
              <w:t>0.76</w:t>
            </w:r>
          </w:p>
        </w:tc>
      </w:tr>
      <w:tr w:rsidR="00CA361F" w:rsidRPr="00785ACF" w14:paraId="5F914E37" w14:textId="77777777" w:rsidTr="0029492A">
        <w:trPr>
          <w:jc w:val="center"/>
        </w:trPr>
        <w:tc>
          <w:tcPr>
            <w:tcW w:w="2688" w:type="dxa"/>
            <w:tcBorders>
              <w:top w:val="nil"/>
              <w:left w:val="nil"/>
              <w:bottom w:val="nil"/>
              <w:right w:val="single" w:sz="6" w:space="0" w:color="auto"/>
            </w:tcBorders>
            <w:vAlign w:val="center"/>
          </w:tcPr>
          <w:p w14:paraId="342FCE98"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Western Australia</w:t>
            </w:r>
          </w:p>
        </w:tc>
        <w:tc>
          <w:tcPr>
            <w:tcW w:w="640" w:type="dxa"/>
            <w:tcBorders>
              <w:top w:val="nil"/>
              <w:left w:val="single" w:sz="6" w:space="0" w:color="auto"/>
              <w:bottom w:val="nil"/>
              <w:right w:val="nil"/>
            </w:tcBorders>
            <w:vAlign w:val="center"/>
          </w:tcPr>
          <w:p w14:paraId="291577BC" w14:textId="77777777" w:rsidR="00CA361F" w:rsidRPr="00B40A8F" w:rsidRDefault="00CA361F" w:rsidP="00CA361F">
            <w:pPr>
              <w:jc w:val="center"/>
              <w:rPr>
                <w:sz w:val="20"/>
                <w:szCs w:val="20"/>
              </w:rPr>
            </w:pPr>
            <w:r w:rsidRPr="00B40A8F">
              <w:rPr>
                <w:sz w:val="20"/>
                <w:szCs w:val="20"/>
              </w:rPr>
              <w:t>0.84</w:t>
            </w:r>
          </w:p>
        </w:tc>
        <w:tc>
          <w:tcPr>
            <w:tcW w:w="640" w:type="dxa"/>
            <w:tcBorders>
              <w:top w:val="nil"/>
              <w:left w:val="nil"/>
              <w:bottom w:val="nil"/>
              <w:right w:val="nil"/>
            </w:tcBorders>
            <w:vAlign w:val="center"/>
          </w:tcPr>
          <w:p w14:paraId="379F2AF5" w14:textId="77777777" w:rsidR="00CA361F" w:rsidRPr="00B40A8F" w:rsidRDefault="00CA361F" w:rsidP="00CA361F">
            <w:pPr>
              <w:jc w:val="center"/>
              <w:rPr>
                <w:sz w:val="20"/>
                <w:szCs w:val="20"/>
              </w:rPr>
            </w:pPr>
            <w:r w:rsidRPr="00B40A8F">
              <w:rPr>
                <w:sz w:val="20"/>
                <w:szCs w:val="20"/>
              </w:rPr>
              <w:t>0.88</w:t>
            </w:r>
          </w:p>
        </w:tc>
        <w:tc>
          <w:tcPr>
            <w:tcW w:w="641" w:type="dxa"/>
            <w:tcBorders>
              <w:top w:val="nil"/>
              <w:left w:val="nil"/>
              <w:bottom w:val="nil"/>
              <w:right w:val="nil"/>
            </w:tcBorders>
            <w:vAlign w:val="center"/>
          </w:tcPr>
          <w:p w14:paraId="703FD3AA" w14:textId="77777777" w:rsidR="00CA361F" w:rsidRPr="00B40A8F" w:rsidRDefault="00CA361F" w:rsidP="00CA361F">
            <w:pPr>
              <w:jc w:val="center"/>
              <w:rPr>
                <w:sz w:val="20"/>
                <w:szCs w:val="20"/>
              </w:rPr>
            </w:pPr>
            <w:r w:rsidRPr="00B40A8F">
              <w:rPr>
                <w:sz w:val="20"/>
                <w:szCs w:val="20"/>
              </w:rPr>
              <w:t>0.87</w:t>
            </w:r>
          </w:p>
        </w:tc>
        <w:tc>
          <w:tcPr>
            <w:tcW w:w="640" w:type="dxa"/>
            <w:tcBorders>
              <w:top w:val="nil"/>
              <w:left w:val="nil"/>
              <w:bottom w:val="nil"/>
              <w:right w:val="nil"/>
            </w:tcBorders>
            <w:vAlign w:val="center"/>
          </w:tcPr>
          <w:p w14:paraId="5BA818B7" w14:textId="77777777" w:rsidR="00CA361F" w:rsidRPr="00B40A8F" w:rsidRDefault="00CA361F" w:rsidP="00CA361F">
            <w:pPr>
              <w:jc w:val="center"/>
              <w:rPr>
                <w:sz w:val="20"/>
                <w:szCs w:val="20"/>
              </w:rPr>
            </w:pPr>
            <w:r w:rsidRPr="00B40A8F">
              <w:rPr>
                <w:sz w:val="20"/>
                <w:szCs w:val="20"/>
              </w:rPr>
              <w:t>0.86</w:t>
            </w:r>
          </w:p>
        </w:tc>
        <w:tc>
          <w:tcPr>
            <w:tcW w:w="641" w:type="dxa"/>
            <w:tcBorders>
              <w:top w:val="nil"/>
              <w:left w:val="nil"/>
              <w:bottom w:val="nil"/>
              <w:right w:val="single" w:sz="6" w:space="0" w:color="auto"/>
            </w:tcBorders>
            <w:vAlign w:val="center"/>
          </w:tcPr>
          <w:p w14:paraId="5AC91D57" w14:textId="77777777" w:rsidR="00CA361F" w:rsidRPr="00B40A8F" w:rsidRDefault="00CA361F" w:rsidP="00CA361F">
            <w:pPr>
              <w:jc w:val="center"/>
              <w:rPr>
                <w:sz w:val="20"/>
                <w:szCs w:val="20"/>
              </w:rPr>
            </w:pPr>
            <w:r w:rsidRPr="00B40A8F">
              <w:rPr>
                <w:sz w:val="20"/>
                <w:szCs w:val="20"/>
              </w:rPr>
              <w:t>0.86</w:t>
            </w:r>
          </w:p>
        </w:tc>
        <w:tc>
          <w:tcPr>
            <w:tcW w:w="640" w:type="dxa"/>
            <w:tcBorders>
              <w:top w:val="nil"/>
              <w:left w:val="single" w:sz="6" w:space="0" w:color="auto"/>
              <w:bottom w:val="nil"/>
              <w:right w:val="nil"/>
            </w:tcBorders>
            <w:vAlign w:val="center"/>
          </w:tcPr>
          <w:p w14:paraId="70776BEB" w14:textId="77777777" w:rsidR="00CA361F" w:rsidRPr="00B40A8F" w:rsidRDefault="00CA361F" w:rsidP="00CA361F">
            <w:pPr>
              <w:jc w:val="center"/>
              <w:rPr>
                <w:sz w:val="20"/>
                <w:szCs w:val="32"/>
              </w:rPr>
            </w:pPr>
            <w:r w:rsidRPr="00B40A8F">
              <w:rPr>
                <w:sz w:val="20"/>
                <w:szCs w:val="32"/>
              </w:rPr>
              <w:t>0.84</w:t>
            </w:r>
          </w:p>
        </w:tc>
        <w:tc>
          <w:tcPr>
            <w:tcW w:w="640" w:type="dxa"/>
            <w:tcBorders>
              <w:top w:val="nil"/>
              <w:left w:val="nil"/>
              <w:bottom w:val="nil"/>
              <w:right w:val="nil"/>
            </w:tcBorders>
            <w:vAlign w:val="center"/>
          </w:tcPr>
          <w:p w14:paraId="307403FE" w14:textId="77777777" w:rsidR="00CA361F" w:rsidRPr="00B40A8F" w:rsidRDefault="00CA361F" w:rsidP="00CA361F">
            <w:pPr>
              <w:jc w:val="center"/>
              <w:rPr>
                <w:sz w:val="20"/>
                <w:szCs w:val="32"/>
              </w:rPr>
            </w:pPr>
            <w:r w:rsidRPr="00B40A8F">
              <w:rPr>
                <w:sz w:val="20"/>
                <w:szCs w:val="32"/>
              </w:rPr>
              <w:t>0.86</w:t>
            </w:r>
          </w:p>
        </w:tc>
        <w:tc>
          <w:tcPr>
            <w:tcW w:w="641" w:type="dxa"/>
            <w:tcBorders>
              <w:top w:val="nil"/>
              <w:left w:val="nil"/>
              <w:bottom w:val="nil"/>
              <w:right w:val="nil"/>
            </w:tcBorders>
            <w:vAlign w:val="center"/>
          </w:tcPr>
          <w:p w14:paraId="6DC9F738" w14:textId="77777777" w:rsidR="00CA361F" w:rsidRPr="00B40A8F" w:rsidRDefault="00CA361F" w:rsidP="00CA361F">
            <w:pPr>
              <w:jc w:val="center"/>
              <w:rPr>
                <w:sz w:val="20"/>
                <w:szCs w:val="32"/>
              </w:rPr>
            </w:pPr>
            <w:r w:rsidRPr="00B40A8F">
              <w:rPr>
                <w:sz w:val="20"/>
                <w:szCs w:val="32"/>
              </w:rPr>
              <w:t>0.86</w:t>
            </w:r>
          </w:p>
        </w:tc>
        <w:tc>
          <w:tcPr>
            <w:tcW w:w="640" w:type="dxa"/>
            <w:tcBorders>
              <w:top w:val="nil"/>
              <w:left w:val="nil"/>
              <w:bottom w:val="nil"/>
              <w:right w:val="nil"/>
            </w:tcBorders>
            <w:vAlign w:val="center"/>
          </w:tcPr>
          <w:p w14:paraId="781E1846" w14:textId="77777777" w:rsidR="00CA361F" w:rsidRPr="00B40A8F" w:rsidRDefault="00CA361F" w:rsidP="00CA361F">
            <w:pPr>
              <w:jc w:val="center"/>
              <w:rPr>
                <w:sz w:val="20"/>
                <w:szCs w:val="32"/>
              </w:rPr>
            </w:pPr>
            <w:r w:rsidRPr="00B40A8F">
              <w:rPr>
                <w:sz w:val="20"/>
                <w:szCs w:val="32"/>
              </w:rPr>
              <w:t>0.84</w:t>
            </w:r>
          </w:p>
        </w:tc>
        <w:tc>
          <w:tcPr>
            <w:tcW w:w="641" w:type="dxa"/>
            <w:tcBorders>
              <w:top w:val="nil"/>
              <w:left w:val="nil"/>
              <w:bottom w:val="nil"/>
            </w:tcBorders>
            <w:vAlign w:val="center"/>
          </w:tcPr>
          <w:p w14:paraId="35963C3A" w14:textId="77777777" w:rsidR="00CA361F" w:rsidRPr="00B40A8F" w:rsidRDefault="00CA361F" w:rsidP="00CA361F">
            <w:pPr>
              <w:jc w:val="center"/>
              <w:rPr>
                <w:sz w:val="20"/>
                <w:szCs w:val="32"/>
              </w:rPr>
            </w:pPr>
            <w:r w:rsidRPr="00B40A8F">
              <w:rPr>
                <w:sz w:val="20"/>
                <w:szCs w:val="32"/>
              </w:rPr>
              <w:t>0.85</w:t>
            </w:r>
          </w:p>
        </w:tc>
      </w:tr>
      <w:tr w:rsidR="00CA361F" w:rsidRPr="00785ACF" w14:paraId="4D5BBF1F" w14:textId="77777777" w:rsidTr="0029492A">
        <w:trPr>
          <w:jc w:val="center"/>
        </w:trPr>
        <w:tc>
          <w:tcPr>
            <w:tcW w:w="2688" w:type="dxa"/>
            <w:tcBorders>
              <w:top w:val="nil"/>
              <w:left w:val="nil"/>
              <w:bottom w:val="nil"/>
              <w:right w:val="single" w:sz="6" w:space="0" w:color="auto"/>
            </w:tcBorders>
            <w:vAlign w:val="center"/>
          </w:tcPr>
          <w:p w14:paraId="64728951"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Queensland</w:t>
            </w:r>
          </w:p>
        </w:tc>
        <w:tc>
          <w:tcPr>
            <w:tcW w:w="640" w:type="dxa"/>
            <w:tcBorders>
              <w:top w:val="nil"/>
              <w:left w:val="single" w:sz="6" w:space="0" w:color="auto"/>
              <w:bottom w:val="nil"/>
              <w:right w:val="nil"/>
            </w:tcBorders>
            <w:vAlign w:val="center"/>
          </w:tcPr>
          <w:p w14:paraId="190AD380" w14:textId="77777777" w:rsidR="00CA361F" w:rsidRPr="00B40A8F" w:rsidRDefault="00CA361F" w:rsidP="00CA361F">
            <w:pPr>
              <w:jc w:val="center"/>
              <w:rPr>
                <w:sz w:val="20"/>
                <w:szCs w:val="20"/>
              </w:rPr>
            </w:pPr>
            <w:r w:rsidRPr="00B40A8F">
              <w:rPr>
                <w:sz w:val="20"/>
                <w:szCs w:val="20"/>
              </w:rPr>
              <w:t>0.95</w:t>
            </w:r>
          </w:p>
        </w:tc>
        <w:tc>
          <w:tcPr>
            <w:tcW w:w="640" w:type="dxa"/>
            <w:tcBorders>
              <w:top w:val="nil"/>
              <w:left w:val="nil"/>
              <w:bottom w:val="nil"/>
              <w:right w:val="nil"/>
            </w:tcBorders>
            <w:vAlign w:val="center"/>
          </w:tcPr>
          <w:p w14:paraId="4F609EA1" w14:textId="77777777" w:rsidR="00CA361F" w:rsidRPr="00B40A8F" w:rsidRDefault="00CA361F" w:rsidP="00CA361F">
            <w:pPr>
              <w:jc w:val="center"/>
              <w:rPr>
                <w:sz w:val="20"/>
                <w:szCs w:val="20"/>
              </w:rPr>
            </w:pPr>
            <w:r w:rsidRPr="00B40A8F">
              <w:rPr>
                <w:sz w:val="20"/>
                <w:szCs w:val="20"/>
              </w:rPr>
              <w:t>0.94</w:t>
            </w:r>
          </w:p>
        </w:tc>
        <w:tc>
          <w:tcPr>
            <w:tcW w:w="641" w:type="dxa"/>
            <w:tcBorders>
              <w:top w:val="nil"/>
              <w:left w:val="nil"/>
              <w:bottom w:val="nil"/>
              <w:right w:val="nil"/>
            </w:tcBorders>
            <w:vAlign w:val="center"/>
          </w:tcPr>
          <w:p w14:paraId="48B26B1E" w14:textId="77777777" w:rsidR="00CA361F" w:rsidRPr="00B40A8F" w:rsidRDefault="00CA361F" w:rsidP="00CA361F">
            <w:pPr>
              <w:jc w:val="center"/>
              <w:rPr>
                <w:sz w:val="20"/>
                <w:szCs w:val="20"/>
              </w:rPr>
            </w:pPr>
            <w:r w:rsidRPr="00B40A8F">
              <w:rPr>
                <w:sz w:val="20"/>
                <w:szCs w:val="20"/>
              </w:rPr>
              <w:t>0.94</w:t>
            </w:r>
          </w:p>
        </w:tc>
        <w:tc>
          <w:tcPr>
            <w:tcW w:w="640" w:type="dxa"/>
            <w:tcBorders>
              <w:top w:val="nil"/>
              <w:left w:val="nil"/>
              <w:bottom w:val="nil"/>
              <w:right w:val="nil"/>
            </w:tcBorders>
            <w:vAlign w:val="center"/>
          </w:tcPr>
          <w:p w14:paraId="7FC43590" w14:textId="77777777" w:rsidR="00CA361F" w:rsidRPr="00B40A8F" w:rsidRDefault="00CA361F" w:rsidP="00CA361F">
            <w:pPr>
              <w:jc w:val="center"/>
              <w:rPr>
                <w:sz w:val="20"/>
                <w:szCs w:val="20"/>
              </w:rPr>
            </w:pPr>
            <w:r w:rsidRPr="00B40A8F">
              <w:rPr>
                <w:sz w:val="20"/>
                <w:szCs w:val="20"/>
              </w:rPr>
              <w:t>0.93</w:t>
            </w:r>
          </w:p>
        </w:tc>
        <w:tc>
          <w:tcPr>
            <w:tcW w:w="641" w:type="dxa"/>
            <w:tcBorders>
              <w:top w:val="nil"/>
              <w:left w:val="nil"/>
              <w:bottom w:val="nil"/>
              <w:right w:val="single" w:sz="6" w:space="0" w:color="auto"/>
            </w:tcBorders>
            <w:vAlign w:val="center"/>
          </w:tcPr>
          <w:p w14:paraId="2547C316" w14:textId="77777777" w:rsidR="00CA361F" w:rsidRPr="00B40A8F" w:rsidRDefault="00CA361F" w:rsidP="00CA361F">
            <w:pPr>
              <w:jc w:val="center"/>
              <w:rPr>
                <w:sz w:val="20"/>
                <w:szCs w:val="20"/>
              </w:rPr>
            </w:pPr>
            <w:r w:rsidRPr="00B40A8F">
              <w:rPr>
                <w:sz w:val="20"/>
                <w:szCs w:val="20"/>
              </w:rPr>
              <w:t>0.90</w:t>
            </w:r>
          </w:p>
        </w:tc>
        <w:tc>
          <w:tcPr>
            <w:tcW w:w="640" w:type="dxa"/>
            <w:tcBorders>
              <w:top w:val="nil"/>
              <w:left w:val="single" w:sz="6" w:space="0" w:color="auto"/>
              <w:bottom w:val="nil"/>
              <w:right w:val="nil"/>
            </w:tcBorders>
            <w:vAlign w:val="center"/>
          </w:tcPr>
          <w:p w14:paraId="4D13DA83" w14:textId="77777777" w:rsidR="00CA361F" w:rsidRPr="00B40A8F" w:rsidRDefault="00CA361F" w:rsidP="00CA361F">
            <w:pPr>
              <w:jc w:val="center"/>
              <w:rPr>
                <w:sz w:val="20"/>
                <w:szCs w:val="32"/>
              </w:rPr>
            </w:pPr>
            <w:r w:rsidRPr="00B40A8F">
              <w:rPr>
                <w:sz w:val="20"/>
                <w:szCs w:val="32"/>
              </w:rPr>
              <w:t>0.94</w:t>
            </w:r>
          </w:p>
        </w:tc>
        <w:tc>
          <w:tcPr>
            <w:tcW w:w="640" w:type="dxa"/>
            <w:tcBorders>
              <w:top w:val="nil"/>
              <w:left w:val="nil"/>
              <w:bottom w:val="nil"/>
              <w:right w:val="nil"/>
            </w:tcBorders>
            <w:vAlign w:val="center"/>
          </w:tcPr>
          <w:p w14:paraId="0DB2C449" w14:textId="77777777" w:rsidR="00CA361F" w:rsidRPr="00B40A8F" w:rsidRDefault="00CA361F" w:rsidP="00CA361F">
            <w:pPr>
              <w:jc w:val="center"/>
              <w:rPr>
                <w:sz w:val="20"/>
                <w:szCs w:val="32"/>
              </w:rPr>
            </w:pPr>
            <w:r w:rsidRPr="00B40A8F">
              <w:rPr>
                <w:sz w:val="20"/>
                <w:szCs w:val="32"/>
              </w:rPr>
              <w:t>0.93</w:t>
            </w:r>
          </w:p>
        </w:tc>
        <w:tc>
          <w:tcPr>
            <w:tcW w:w="641" w:type="dxa"/>
            <w:tcBorders>
              <w:top w:val="nil"/>
              <w:left w:val="nil"/>
              <w:bottom w:val="nil"/>
              <w:right w:val="nil"/>
            </w:tcBorders>
            <w:vAlign w:val="center"/>
          </w:tcPr>
          <w:p w14:paraId="1E20DF31" w14:textId="77777777" w:rsidR="00CA361F" w:rsidRPr="00B40A8F" w:rsidRDefault="00CA361F" w:rsidP="00CA361F">
            <w:pPr>
              <w:jc w:val="center"/>
              <w:rPr>
                <w:sz w:val="20"/>
                <w:szCs w:val="32"/>
              </w:rPr>
            </w:pPr>
            <w:r w:rsidRPr="00B40A8F">
              <w:rPr>
                <w:sz w:val="20"/>
                <w:szCs w:val="32"/>
              </w:rPr>
              <w:t>0.93</w:t>
            </w:r>
          </w:p>
        </w:tc>
        <w:tc>
          <w:tcPr>
            <w:tcW w:w="640" w:type="dxa"/>
            <w:tcBorders>
              <w:top w:val="nil"/>
              <w:left w:val="nil"/>
              <w:bottom w:val="nil"/>
              <w:right w:val="nil"/>
            </w:tcBorders>
            <w:vAlign w:val="center"/>
          </w:tcPr>
          <w:p w14:paraId="6E1F16E4" w14:textId="77777777" w:rsidR="00CA361F" w:rsidRPr="00B40A8F" w:rsidRDefault="00CA361F" w:rsidP="00CA361F">
            <w:pPr>
              <w:jc w:val="center"/>
              <w:rPr>
                <w:sz w:val="20"/>
                <w:szCs w:val="32"/>
              </w:rPr>
            </w:pPr>
            <w:r w:rsidRPr="00B40A8F">
              <w:rPr>
                <w:sz w:val="20"/>
                <w:szCs w:val="32"/>
              </w:rPr>
              <w:t>0.92</w:t>
            </w:r>
          </w:p>
        </w:tc>
        <w:tc>
          <w:tcPr>
            <w:tcW w:w="641" w:type="dxa"/>
            <w:tcBorders>
              <w:top w:val="nil"/>
              <w:left w:val="nil"/>
              <w:bottom w:val="nil"/>
            </w:tcBorders>
            <w:vAlign w:val="center"/>
          </w:tcPr>
          <w:p w14:paraId="39BE1C98" w14:textId="77777777" w:rsidR="00CA361F" w:rsidRPr="00B40A8F" w:rsidRDefault="00CA361F" w:rsidP="00CA361F">
            <w:pPr>
              <w:jc w:val="center"/>
              <w:rPr>
                <w:sz w:val="20"/>
                <w:szCs w:val="32"/>
              </w:rPr>
            </w:pPr>
            <w:r w:rsidRPr="00B40A8F">
              <w:rPr>
                <w:sz w:val="20"/>
                <w:szCs w:val="32"/>
              </w:rPr>
              <w:t>0.89</w:t>
            </w:r>
          </w:p>
        </w:tc>
      </w:tr>
      <w:tr w:rsidR="00CA361F" w:rsidRPr="00785ACF" w14:paraId="1015C2E2" w14:textId="77777777" w:rsidTr="0029492A">
        <w:trPr>
          <w:jc w:val="center"/>
        </w:trPr>
        <w:tc>
          <w:tcPr>
            <w:tcW w:w="2688" w:type="dxa"/>
            <w:tcBorders>
              <w:top w:val="nil"/>
              <w:left w:val="nil"/>
              <w:bottom w:val="nil"/>
              <w:right w:val="single" w:sz="6" w:space="0" w:color="auto"/>
            </w:tcBorders>
            <w:vAlign w:val="center"/>
          </w:tcPr>
          <w:p w14:paraId="53BFE22D"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New South Wales</w:t>
            </w:r>
          </w:p>
        </w:tc>
        <w:tc>
          <w:tcPr>
            <w:tcW w:w="640" w:type="dxa"/>
            <w:tcBorders>
              <w:top w:val="nil"/>
              <w:left w:val="single" w:sz="6" w:space="0" w:color="auto"/>
              <w:bottom w:val="nil"/>
              <w:right w:val="nil"/>
            </w:tcBorders>
            <w:vAlign w:val="center"/>
          </w:tcPr>
          <w:p w14:paraId="0354B0FE" w14:textId="77777777" w:rsidR="00CA361F" w:rsidRPr="00B40A8F" w:rsidRDefault="00CA361F" w:rsidP="00CA361F">
            <w:pPr>
              <w:jc w:val="center"/>
              <w:rPr>
                <w:sz w:val="20"/>
                <w:szCs w:val="20"/>
              </w:rPr>
            </w:pPr>
            <w:r w:rsidRPr="00B40A8F">
              <w:rPr>
                <w:sz w:val="20"/>
                <w:szCs w:val="20"/>
              </w:rPr>
              <w:t>0.93</w:t>
            </w:r>
          </w:p>
        </w:tc>
        <w:tc>
          <w:tcPr>
            <w:tcW w:w="640" w:type="dxa"/>
            <w:tcBorders>
              <w:top w:val="nil"/>
              <w:left w:val="nil"/>
              <w:bottom w:val="nil"/>
              <w:right w:val="nil"/>
            </w:tcBorders>
            <w:vAlign w:val="center"/>
          </w:tcPr>
          <w:p w14:paraId="6316AF2D" w14:textId="77777777" w:rsidR="00CA361F" w:rsidRPr="00B40A8F" w:rsidRDefault="00CA361F" w:rsidP="00CA361F">
            <w:pPr>
              <w:jc w:val="center"/>
              <w:rPr>
                <w:sz w:val="20"/>
                <w:szCs w:val="20"/>
              </w:rPr>
            </w:pPr>
            <w:r w:rsidRPr="00B40A8F">
              <w:rPr>
                <w:sz w:val="20"/>
                <w:szCs w:val="20"/>
              </w:rPr>
              <w:t>0.95</w:t>
            </w:r>
          </w:p>
        </w:tc>
        <w:tc>
          <w:tcPr>
            <w:tcW w:w="641" w:type="dxa"/>
            <w:tcBorders>
              <w:top w:val="nil"/>
              <w:left w:val="nil"/>
              <w:bottom w:val="nil"/>
              <w:right w:val="nil"/>
            </w:tcBorders>
            <w:vAlign w:val="center"/>
          </w:tcPr>
          <w:p w14:paraId="784B464F" w14:textId="77777777" w:rsidR="00CA361F" w:rsidRPr="00B40A8F" w:rsidRDefault="00CA361F" w:rsidP="00CA361F">
            <w:pPr>
              <w:jc w:val="center"/>
              <w:rPr>
                <w:sz w:val="20"/>
                <w:szCs w:val="20"/>
              </w:rPr>
            </w:pPr>
            <w:r w:rsidRPr="00B40A8F">
              <w:rPr>
                <w:sz w:val="20"/>
                <w:szCs w:val="20"/>
              </w:rPr>
              <w:t>0.94</w:t>
            </w:r>
          </w:p>
        </w:tc>
        <w:tc>
          <w:tcPr>
            <w:tcW w:w="640" w:type="dxa"/>
            <w:tcBorders>
              <w:top w:val="nil"/>
              <w:left w:val="nil"/>
              <w:bottom w:val="nil"/>
              <w:right w:val="nil"/>
            </w:tcBorders>
            <w:vAlign w:val="center"/>
          </w:tcPr>
          <w:p w14:paraId="7AD54A4B" w14:textId="77777777" w:rsidR="00CA361F" w:rsidRPr="00B40A8F" w:rsidRDefault="00CA361F" w:rsidP="00CA361F">
            <w:pPr>
              <w:jc w:val="center"/>
              <w:rPr>
                <w:sz w:val="20"/>
                <w:szCs w:val="20"/>
              </w:rPr>
            </w:pPr>
            <w:r w:rsidRPr="00B40A8F">
              <w:rPr>
                <w:sz w:val="20"/>
                <w:szCs w:val="20"/>
              </w:rPr>
              <w:t>0.94</w:t>
            </w:r>
          </w:p>
        </w:tc>
        <w:tc>
          <w:tcPr>
            <w:tcW w:w="641" w:type="dxa"/>
            <w:tcBorders>
              <w:top w:val="nil"/>
              <w:left w:val="nil"/>
              <w:bottom w:val="nil"/>
              <w:right w:val="single" w:sz="6" w:space="0" w:color="auto"/>
            </w:tcBorders>
            <w:vAlign w:val="center"/>
          </w:tcPr>
          <w:p w14:paraId="63901A5A" w14:textId="77777777" w:rsidR="00CA361F" w:rsidRPr="00B40A8F" w:rsidRDefault="00CA361F" w:rsidP="00CA361F">
            <w:pPr>
              <w:jc w:val="center"/>
              <w:rPr>
                <w:sz w:val="20"/>
                <w:szCs w:val="20"/>
              </w:rPr>
            </w:pPr>
            <w:r w:rsidRPr="00B40A8F">
              <w:rPr>
                <w:sz w:val="20"/>
                <w:szCs w:val="20"/>
              </w:rPr>
              <w:t>0.94</w:t>
            </w:r>
          </w:p>
        </w:tc>
        <w:tc>
          <w:tcPr>
            <w:tcW w:w="640" w:type="dxa"/>
            <w:tcBorders>
              <w:top w:val="nil"/>
              <w:left w:val="single" w:sz="6" w:space="0" w:color="auto"/>
              <w:bottom w:val="nil"/>
              <w:right w:val="nil"/>
            </w:tcBorders>
            <w:vAlign w:val="center"/>
          </w:tcPr>
          <w:p w14:paraId="2A4FD952" w14:textId="77777777" w:rsidR="00CA361F" w:rsidRPr="00B40A8F" w:rsidRDefault="00CA361F" w:rsidP="00CA361F">
            <w:pPr>
              <w:jc w:val="center"/>
              <w:rPr>
                <w:sz w:val="20"/>
                <w:szCs w:val="32"/>
              </w:rPr>
            </w:pPr>
            <w:r w:rsidRPr="00B40A8F">
              <w:rPr>
                <w:sz w:val="20"/>
                <w:szCs w:val="32"/>
              </w:rPr>
              <w:t>0.92</w:t>
            </w:r>
          </w:p>
        </w:tc>
        <w:tc>
          <w:tcPr>
            <w:tcW w:w="640" w:type="dxa"/>
            <w:tcBorders>
              <w:top w:val="nil"/>
              <w:left w:val="nil"/>
              <w:bottom w:val="nil"/>
              <w:right w:val="nil"/>
            </w:tcBorders>
            <w:vAlign w:val="center"/>
          </w:tcPr>
          <w:p w14:paraId="5450E479" w14:textId="77777777" w:rsidR="00CA361F" w:rsidRPr="00B40A8F" w:rsidRDefault="00CA361F" w:rsidP="00CA361F">
            <w:pPr>
              <w:jc w:val="center"/>
              <w:rPr>
                <w:sz w:val="20"/>
                <w:szCs w:val="32"/>
              </w:rPr>
            </w:pPr>
            <w:r w:rsidRPr="00B40A8F">
              <w:rPr>
                <w:sz w:val="20"/>
                <w:szCs w:val="32"/>
              </w:rPr>
              <w:t>0.94</w:t>
            </w:r>
          </w:p>
        </w:tc>
        <w:tc>
          <w:tcPr>
            <w:tcW w:w="641" w:type="dxa"/>
            <w:tcBorders>
              <w:top w:val="nil"/>
              <w:left w:val="nil"/>
              <w:bottom w:val="nil"/>
              <w:right w:val="nil"/>
            </w:tcBorders>
            <w:vAlign w:val="center"/>
          </w:tcPr>
          <w:p w14:paraId="3E59CCF3" w14:textId="77777777" w:rsidR="00CA361F" w:rsidRPr="00B40A8F" w:rsidRDefault="00CA361F" w:rsidP="00CA361F">
            <w:pPr>
              <w:jc w:val="center"/>
              <w:rPr>
                <w:sz w:val="20"/>
                <w:szCs w:val="32"/>
              </w:rPr>
            </w:pPr>
            <w:r w:rsidRPr="00B40A8F">
              <w:rPr>
                <w:sz w:val="20"/>
                <w:szCs w:val="32"/>
              </w:rPr>
              <w:t>0.93</w:t>
            </w:r>
          </w:p>
        </w:tc>
        <w:tc>
          <w:tcPr>
            <w:tcW w:w="640" w:type="dxa"/>
            <w:tcBorders>
              <w:top w:val="nil"/>
              <w:left w:val="nil"/>
              <w:bottom w:val="nil"/>
              <w:right w:val="nil"/>
            </w:tcBorders>
            <w:vAlign w:val="center"/>
          </w:tcPr>
          <w:p w14:paraId="16185BB3" w14:textId="77777777" w:rsidR="00CA361F" w:rsidRPr="00B40A8F" w:rsidRDefault="00CA361F" w:rsidP="00CA361F">
            <w:pPr>
              <w:jc w:val="center"/>
              <w:rPr>
                <w:sz w:val="20"/>
                <w:szCs w:val="32"/>
              </w:rPr>
            </w:pPr>
            <w:r w:rsidRPr="00B40A8F">
              <w:rPr>
                <w:sz w:val="20"/>
                <w:szCs w:val="32"/>
              </w:rPr>
              <w:t>0.94</w:t>
            </w:r>
          </w:p>
        </w:tc>
        <w:tc>
          <w:tcPr>
            <w:tcW w:w="641" w:type="dxa"/>
            <w:tcBorders>
              <w:top w:val="nil"/>
              <w:left w:val="nil"/>
              <w:bottom w:val="nil"/>
            </w:tcBorders>
            <w:vAlign w:val="center"/>
          </w:tcPr>
          <w:p w14:paraId="3F829833" w14:textId="77777777" w:rsidR="00CA361F" w:rsidRPr="00B40A8F" w:rsidRDefault="00CA361F" w:rsidP="00CA361F">
            <w:pPr>
              <w:jc w:val="center"/>
              <w:rPr>
                <w:sz w:val="20"/>
                <w:szCs w:val="32"/>
              </w:rPr>
            </w:pPr>
            <w:r w:rsidRPr="00B40A8F">
              <w:rPr>
                <w:sz w:val="20"/>
                <w:szCs w:val="32"/>
              </w:rPr>
              <w:t>0.93</w:t>
            </w:r>
          </w:p>
        </w:tc>
      </w:tr>
      <w:tr w:rsidR="00CA361F" w:rsidRPr="00785ACF" w14:paraId="5FF9C742" w14:textId="77777777" w:rsidTr="0029492A">
        <w:trPr>
          <w:jc w:val="center"/>
        </w:trPr>
        <w:tc>
          <w:tcPr>
            <w:tcW w:w="2688" w:type="dxa"/>
            <w:tcBorders>
              <w:top w:val="nil"/>
              <w:left w:val="nil"/>
              <w:bottom w:val="nil"/>
              <w:right w:val="single" w:sz="6" w:space="0" w:color="auto"/>
            </w:tcBorders>
            <w:vAlign w:val="center"/>
          </w:tcPr>
          <w:p w14:paraId="2DE21039"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Victoria</w:t>
            </w:r>
          </w:p>
        </w:tc>
        <w:tc>
          <w:tcPr>
            <w:tcW w:w="640" w:type="dxa"/>
            <w:tcBorders>
              <w:top w:val="nil"/>
              <w:left w:val="single" w:sz="6" w:space="0" w:color="auto"/>
              <w:bottom w:val="nil"/>
              <w:right w:val="nil"/>
            </w:tcBorders>
            <w:vAlign w:val="center"/>
          </w:tcPr>
          <w:p w14:paraId="5495366B" w14:textId="77777777" w:rsidR="00CA361F" w:rsidRPr="00B40A8F" w:rsidRDefault="00CA361F" w:rsidP="00CA361F">
            <w:pPr>
              <w:jc w:val="center"/>
              <w:rPr>
                <w:sz w:val="20"/>
                <w:szCs w:val="20"/>
              </w:rPr>
            </w:pPr>
            <w:r w:rsidRPr="00B40A8F">
              <w:rPr>
                <w:sz w:val="20"/>
                <w:szCs w:val="20"/>
              </w:rPr>
              <w:t>0.90</w:t>
            </w:r>
          </w:p>
        </w:tc>
        <w:tc>
          <w:tcPr>
            <w:tcW w:w="640" w:type="dxa"/>
            <w:tcBorders>
              <w:top w:val="nil"/>
              <w:left w:val="nil"/>
              <w:bottom w:val="nil"/>
              <w:right w:val="nil"/>
            </w:tcBorders>
            <w:vAlign w:val="center"/>
          </w:tcPr>
          <w:p w14:paraId="7B558D4B" w14:textId="77777777" w:rsidR="00CA361F" w:rsidRPr="00B40A8F" w:rsidRDefault="00CA361F" w:rsidP="00CA361F">
            <w:pPr>
              <w:jc w:val="center"/>
              <w:rPr>
                <w:sz w:val="20"/>
                <w:szCs w:val="20"/>
              </w:rPr>
            </w:pPr>
            <w:r w:rsidRPr="00B40A8F">
              <w:rPr>
                <w:sz w:val="20"/>
                <w:szCs w:val="20"/>
              </w:rPr>
              <w:t>0.91</w:t>
            </w:r>
          </w:p>
        </w:tc>
        <w:tc>
          <w:tcPr>
            <w:tcW w:w="641" w:type="dxa"/>
            <w:tcBorders>
              <w:top w:val="nil"/>
              <w:left w:val="nil"/>
              <w:bottom w:val="nil"/>
              <w:right w:val="nil"/>
            </w:tcBorders>
            <w:vAlign w:val="center"/>
          </w:tcPr>
          <w:p w14:paraId="1C1A8211" w14:textId="77777777" w:rsidR="00CA361F" w:rsidRPr="00B40A8F" w:rsidRDefault="00CA361F" w:rsidP="00CA361F">
            <w:pPr>
              <w:jc w:val="center"/>
              <w:rPr>
                <w:sz w:val="20"/>
                <w:szCs w:val="20"/>
              </w:rPr>
            </w:pPr>
            <w:r w:rsidRPr="00B40A8F">
              <w:rPr>
                <w:sz w:val="20"/>
                <w:szCs w:val="20"/>
              </w:rPr>
              <w:t>0.88</w:t>
            </w:r>
          </w:p>
        </w:tc>
        <w:tc>
          <w:tcPr>
            <w:tcW w:w="640" w:type="dxa"/>
            <w:tcBorders>
              <w:top w:val="nil"/>
              <w:left w:val="nil"/>
              <w:bottom w:val="nil"/>
              <w:right w:val="nil"/>
            </w:tcBorders>
            <w:vAlign w:val="center"/>
          </w:tcPr>
          <w:p w14:paraId="3FFC778E" w14:textId="77777777" w:rsidR="00CA361F" w:rsidRPr="00B40A8F" w:rsidRDefault="00CA361F" w:rsidP="00CA361F">
            <w:pPr>
              <w:jc w:val="center"/>
              <w:rPr>
                <w:sz w:val="20"/>
                <w:szCs w:val="20"/>
              </w:rPr>
            </w:pPr>
            <w:r w:rsidRPr="00B40A8F">
              <w:rPr>
                <w:sz w:val="20"/>
                <w:szCs w:val="20"/>
              </w:rPr>
              <w:t>0.90</w:t>
            </w:r>
          </w:p>
        </w:tc>
        <w:tc>
          <w:tcPr>
            <w:tcW w:w="641" w:type="dxa"/>
            <w:tcBorders>
              <w:top w:val="nil"/>
              <w:left w:val="nil"/>
              <w:bottom w:val="nil"/>
              <w:right w:val="single" w:sz="6" w:space="0" w:color="auto"/>
            </w:tcBorders>
            <w:vAlign w:val="center"/>
          </w:tcPr>
          <w:p w14:paraId="538350F6" w14:textId="77777777" w:rsidR="00CA361F" w:rsidRPr="00B40A8F" w:rsidRDefault="00CA361F" w:rsidP="00CA361F">
            <w:pPr>
              <w:jc w:val="center"/>
              <w:rPr>
                <w:sz w:val="20"/>
                <w:szCs w:val="20"/>
              </w:rPr>
            </w:pPr>
            <w:r w:rsidRPr="00B40A8F">
              <w:rPr>
                <w:sz w:val="20"/>
                <w:szCs w:val="20"/>
              </w:rPr>
              <w:t>0.89</w:t>
            </w:r>
          </w:p>
        </w:tc>
        <w:tc>
          <w:tcPr>
            <w:tcW w:w="640" w:type="dxa"/>
            <w:tcBorders>
              <w:top w:val="nil"/>
              <w:left w:val="single" w:sz="6" w:space="0" w:color="auto"/>
              <w:bottom w:val="nil"/>
              <w:right w:val="nil"/>
            </w:tcBorders>
            <w:vAlign w:val="center"/>
          </w:tcPr>
          <w:p w14:paraId="6FC5C70E" w14:textId="77777777" w:rsidR="00CA361F" w:rsidRPr="00B40A8F" w:rsidRDefault="00CA361F" w:rsidP="00CA361F">
            <w:pPr>
              <w:jc w:val="center"/>
              <w:rPr>
                <w:sz w:val="20"/>
                <w:szCs w:val="32"/>
              </w:rPr>
            </w:pPr>
            <w:r w:rsidRPr="00B40A8F">
              <w:rPr>
                <w:sz w:val="20"/>
                <w:szCs w:val="32"/>
              </w:rPr>
              <w:t>0.89</w:t>
            </w:r>
          </w:p>
        </w:tc>
        <w:tc>
          <w:tcPr>
            <w:tcW w:w="640" w:type="dxa"/>
            <w:tcBorders>
              <w:top w:val="nil"/>
              <w:left w:val="nil"/>
              <w:bottom w:val="nil"/>
              <w:right w:val="nil"/>
            </w:tcBorders>
            <w:vAlign w:val="center"/>
          </w:tcPr>
          <w:p w14:paraId="11724E30" w14:textId="77777777" w:rsidR="00CA361F" w:rsidRPr="00B40A8F" w:rsidRDefault="00CA361F" w:rsidP="00CA361F">
            <w:pPr>
              <w:jc w:val="center"/>
              <w:rPr>
                <w:sz w:val="20"/>
                <w:szCs w:val="32"/>
              </w:rPr>
            </w:pPr>
            <w:r w:rsidRPr="00B40A8F">
              <w:rPr>
                <w:sz w:val="20"/>
                <w:szCs w:val="32"/>
              </w:rPr>
              <w:t>0.89</w:t>
            </w:r>
          </w:p>
        </w:tc>
        <w:tc>
          <w:tcPr>
            <w:tcW w:w="641" w:type="dxa"/>
            <w:tcBorders>
              <w:top w:val="nil"/>
              <w:left w:val="nil"/>
              <w:bottom w:val="nil"/>
              <w:right w:val="nil"/>
            </w:tcBorders>
            <w:vAlign w:val="center"/>
          </w:tcPr>
          <w:p w14:paraId="692E42B4" w14:textId="77777777" w:rsidR="00CA361F" w:rsidRPr="00B40A8F" w:rsidRDefault="00CA361F" w:rsidP="00CA361F">
            <w:pPr>
              <w:jc w:val="center"/>
              <w:rPr>
                <w:sz w:val="20"/>
                <w:szCs w:val="32"/>
              </w:rPr>
            </w:pPr>
            <w:r w:rsidRPr="00B40A8F">
              <w:rPr>
                <w:sz w:val="20"/>
                <w:szCs w:val="32"/>
              </w:rPr>
              <w:t>0.88</w:t>
            </w:r>
          </w:p>
        </w:tc>
        <w:tc>
          <w:tcPr>
            <w:tcW w:w="640" w:type="dxa"/>
            <w:tcBorders>
              <w:top w:val="nil"/>
              <w:left w:val="nil"/>
              <w:bottom w:val="nil"/>
              <w:right w:val="nil"/>
            </w:tcBorders>
            <w:vAlign w:val="center"/>
          </w:tcPr>
          <w:p w14:paraId="2EC1E73B" w14:textId="77777777" w:rsidR="00CA361F" w:rsidRPr="00B40A8F" w:rsidRDefault="00CA361F" w:rsidP="00CA361F">
            <w:pPr>
              <w:jc w:val="center"/>
              <w:rPr>
                <w:sz w:val="20"/>
                <w:szCs w:val="32"/>
              </w:rPr>
            </w:pPr>
            <w:r w:rsidRPr="00B40A8F">
              <w:rPr>
                <w:sz w:val="20"/>
                <w:szCs w:val="32"/>
              </w:rPr>
              <w:t>0.89</w:t>
            </w:r>
          </w:p>
        </w:tc>
        <w:tc>
          <w:tcPr>
            <w:tcW w:w="641" w:type="dxa"/>
            <w:tcBorders>
              <w:top w:val="nil"/>
              <w:left w:val="nil"/>
              <w:bottom w:val="nil"/>
            </w:tcBorders>
            <w:vAlign w:val="center"/>
          </w:tcPr>
          <w:p w14:paraId="5FD0953A" w14:textId="77777777" w:rsidR="00CA361F" w:rsidRPr="00B40A8F" w:rsidRDefault="00CA361F" w:rsidP="00CA361F">
            <w:pPr>
              <w:jc w:val="center"/>
              <w:rPr>
                <w:sz w:val="20"/>
                <w:szCs w:val="32"/>
              </w:rPr>
            </w:pPr>
            <w:r w:rsidRPr="00B40A8F">
              <w:rPr>
                <w:sz w:val="20"/>
                <w:szCs w:val="32"/>
              </w:rPr>
              <w:t>0.88</w:t>
            </w:r>
          </w:p>
        </w:tc>
      </w:tr>
      <w:tr w:rsidR="00CA361F" w:rsidRPr="00785ACF" w14:paraId="40938685" w14:textId="77777777" w:rsidTr="0029492A">
        <w:trPr>
          <w:jc w:val="center"/>
        </w:trPr>
        <w:tc>
          <w:tcPr>
            <w:tcW w:w="2688" w:type="dxa"/>
            <w:tcBorders>
              <w:top w:val="nil"/>
              <w:left w:val="nil"/>
              <w:bottom w:val="nil"/>
              <w:right w:val="single" w:sz="6" w:space="0" w:color="auto"/>
            </w:tcBorders>
            <w:vAlign w:val="center"/>
          </w:tcPr>
          <w:p w14:paraId="0C5E0C1E"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South Australia</w:t>
            </w:r>
          </w:p>
        </w:tc>
        <w:tc>
          <w:tcPr>
            <w:tcW w:w="640" w:type="dxa"/>
            <w:tcBorders>
              <w:top w:val="nil"/>
              <w:left w:val="single" w:sz="6" w:space="0" w:color="auto"/>
              <w:bottom w:val="nil"/>
              <w:right w:val="nil"/>
            </w:tcBorders>
            <w:vAlign w:val="center"/>
          </w:tcPr>
          <w:p w14:paraId="0F0385E9" w14:textId="77777777" w:rsidR="00CA361F" w:rsidRPr="00B40A8F" w:rsidRDefault="00CA361F" w:rsidP="00CA361F">
            <w:pPr>
              <w:jc w:val="center"/>
              <w:rPr>
                <w:sz w:val="20"/>
                <w:szCs w:val="20"/>
              </w:rPr>
            </w:pPr>
            <w:r w:rsidRPr="00B40A8F">
              <w:rPr>
                <w:sz w:val="20"/>
                <w:szCs w:val="20"/>
              </w:rPr>
              <w:t>0.97</w:t>
            </w:r>
          </w:p>
        </w:tc>
        <w:tc>
          <w:tcPr>
            <w:tcW w:w="640" w:type="dxa"/>
            <w:tcBorders>
              <w:top w:val="nil"/>
              <w:left w:val="nil"/>
              <w:bottom w:val="nil"/>
              <w:right w:val="nil"/>
            </w:tcBorders>
            <w:vAlign w:val="center"/>
          </w:tcPr>
          <w:p w14:paraId="1534F92A" w14:textId="77777777" w:rsidR="00CA361F" w:rsidRPr="00B40A8F" w:rsidRDefault="00CA361F" w:rsidP="00CA361F">
            <w:pPr>
              <w:jc w:val="center"/>
              <w:rPr>
                <w:sz w:val="20"/>
                <w:szCs w:val="20"/>
              </w:rPr>
            </w:pPr>
            <w:r w:rsidRPr="00B40A8F">
              <w:rPr>
                <w:sz w:val="20"/>
                <w:szCs w:val="20"/>
              </w:rPr>
              <w:t>0.87</w:t>
            </w:r>
          </w:p>
        </w:tc>
        <w:tc>
          <w:tcPr>
            <w:tcW w:w="641" w:type="dxa"/>
            <w:tcBorders>
              <w:top w:val="nil"/>
              <w:left w:val="nil"/>
              <w:bottom w:val="nil"/>
              <w:right w:val="nil"/>
            </w:tcBorders>
            <w:vAlign w:val="center"/>
          </w:tcPr>
          <w:p w14:paraId="2C47789B" w14:textId="77777777" w:rsidR="00CA361F" w:rsidRPr="00B40A8F" w:rsidRDefault="00CA361F" w:rsidP="00CA361F">
            <w:pPr>
              <w:jc w:val="center"/>
              <w:rPr>
                <w:sz w:val="20"/>
                <w:szCs w:val="20"/>
              </w:rPr>
            </w:pPr>
            <w:r w:rsidRPr="00B40A8F">
              <w:rPr>
                <w:sz w:val="20"/>
                <w:szCs w:val="20"/>
              </w:rPr>
              <w:t>0.87</w:t>
            </w:r>
          </w:p>
        </w:tc>
        <w:tc>
          <w:tcPr>
            <w:tcW w:w="640" w:type="dxa"/>
            <w:tcBorders>
              <w:top w:val="nil"/>
              <w:left w:val="nil"/>
              <w:bottom w:val="nil"/>
              <w:right w:val="nil"/>
            </w:tcBorders>
            <w:vAlign w:val="center"/>
          </w:tcPr>
          <w:p w14:paraId="4CEA9C90" w14:textId="77777777" w:rsidR="00CA361F" w:rsidRPr="00B40A8F" w:rsidRDefault="00CA361F" w:rsidP="00CA361F">
            <w:pPr>
              <w:jc w:val="center"/>
              <w:rPr>
                <w:sz w:val="20"/>
                <w:szCs w:val="20"/>
              </w:rPr>
            </w:pPr>
            <w:r w:rsidRPr="00B40A8F">
              <w:rPr>
                <w:sz w:val="20"/>
                <w:szCs w:val="20"/>
              </w:rPr>
              <w:t>0.85</w:t>
            </w:r>
          </w:p>
        </w:tc>
        <w:tc>
          <w:tcPr>
            <w:tcW w:w="641" w:type="dxa"/>
            <w:tcBorders>
              <w:top w:val="nil"/>
              <w:left w:val="nil"/>
              <w:bottom w:val="nil"/>
              <w:right w:val="single" w:sz="6" w:space="0" w:color="auto"/>
            </w:tcBorders>
            <w:vAlign w:val="center"/>
          </w:tcPr>
          <w:p w14:paraId="5F851A60" w14:textId="77777777" w:rsidR="00CA361F" w:rsidRPr="00B40A8F" w:rsidRDefault="00CA361F" w:rsidP="00CA361F">
            <w:pPr>
              <w:jc w:val="center"/>
              <w:rPr>
                <w:sz w:val="20"/>
                <w:szCs w:val="20"/>
              </w:rPr>
            </w:pPr>
            <w:r w:rsidRPr="00B40A8F">
              <w:rPr>
                <w:sz w:val="20"/>
                <w:szCs w:val="20"/>
              </w:rPr>
              <w:t>0.88</w:t>
            </w:r>
          </w:p>
        </w:tc>
        <w:tc>
          <w:tcPr>
            <w:tcW w:w="640" w:type="dxa"/>
            <w:tcBorders>
              <w:top w:val="nil"/>
              <w:left w:val="single" w:sz="6" w:space="0" w:color="auto"/>
              <w:bottom w:val="nil"/>
              <w:right w:val="nil"/>
            </w:tcBorders>
            <w:vAlign w:val="center"/>
          </w:tcPr>
          <w:p w14:paraId="1051BB74" w14:textId="77777777" w:rsidR="00CA361F" w:rsidRPr="00B40A8F" w:rsidRDefault="00CA361F" w:rsidP="00CA361F">
            <w:pPr>
              <w:jc w:val="center"/>
              <w:rPr>
                <w:sz w:val="20"/>
                <w:szCs w:val="32"/>
              </w:rPr>
            </w:pPr>
            <w:r w:rsidRPr="00B40A8F">
              <w:rPr>
                <w:sz w:val="20"/>
                <w:szCs w:val="32"/>
              </w:rPr>
              <w:t>0.97</w:t>
            </w:r>
          </w:p>
        </w:tc>
        <w:tc>
          <w:tcPr>
            <w:tcW w:w="640" w:type="dxa"/>
            <w:tcBorders>
              <w:top w:val="nil"/>
              <w:left w:val="nil"/>
              <w:bottom w:val="nil"/>
              <w:right w:val="nil"/>
            </w:tcBorders>
            <w:vAlign w:val="center"/>
          </w:tcPr>
          <w:p w14:paraId="2A911E2B" w14:textId="77777777" w:rsidR="00CA361F" w:rsidRPr="00B40A8F" w:rsidRDefault="00CA361F" w:rsidP="00CA361F">
            <w:pPr>
              <w:jc w:val="center"/>
              <w:rPr>
                <w:sz w:val="20"/>
                <w:szCs w:val="32"/>
              </w:rPr>
            </w:pPr>
            <w:r w:rsidRPr="00B40A8F">
              <w:rPr>
                <w:sz w:val="20"/>
                <w:szCs w:val="32"/>
              </w:rPr>
              <w:t>0.87</w:t>
            </w:r>
          </w:p>
        </w:tc>
        <w:tc>
          <w:tcPr>
            <w:tcW w:w="641" w:type="dxa"/>
            <w:tcBorders>
              <w:top w:val="nil"/>
              <w:left w:val="nil"/>
              <w:bottom w:val="nil"/>
              <w:right w:val="nil"/>
            </w:tcBorders>
            <w:vAlign w:val="center"/>
          </w:tcPr>
          <w:p w14:paraId="1C3F26F9" w14:textId="77777777" w:rsidR="00CA361F" w:rsidRPr="00B40A8F" w:rsidRDefault="00CA361F" w:rsidP="00CA361F">
            <w:pPr>
              <w:jc w:val="center"/>
              <w:rPr>
                <w:sz w:val="20"/>
                <w:szCs w:val="32"/>
              </w:rPr>
            </w:pPr>
            <w:r w:rsidRPr="00B40A8F">
              <w:rPr>
                <w:sz w:val="20"/>
                <w:szCs w:val="32"/>
              </w:rPr>
              <w:t>0.86</w:t>
            </w:r>
          </w:p>
        </w:tc>
        <w:tc>
          <w:tcPr>
            <w:tcW w:w="640" w:type="dxa"/>
            <w:tcBorders>
              <w:top w:val="nil"/>
              <w:left w:val="nil"/>
              <w:bottom w:val="nil"/>
              <w:right w:val="nil"/>
            </w:tcBorders>
            <w:vAlign w:val="center"/>
          </w:tcPr>
          <w:p w14:paraId="3DC6DFA5" w14:textId="77777777" w:rsidR="00CA361F" w:rsidRPr="00B40A8F" w:rsidRDefault="00CA361F" w:rsidP="00CA361F">
            <w:pPr>
              <w:jc w:val="center"/>
              <w:rPr>
                <w:sz w:val="20"/>
                <w:szCs w:val="32"/>
              </w:rPr>
            </w:pPr>
            <w:r w:rsidRPr="00B40A8F">
              <w:rPr>
                <w:sz w:val="20"/>
                <w:szCs w:val="32"/>
              </w:rPr>
              <w:t>0.84</w:t>
            </w:r>
          </w:p>
        </w:tc>
        <w:tc>
          <w:tcPr>
            <w:tcW w:w="641" w:type="dxa"/>
            <w:tcBorders>
              <w:top w:val="nil"/>
              <w:left w:val="nil"/>
              <w:bottom w:val="nil"/>
            </w:tcBorders>
            <w:vAlign w:val="center"/>
          </w:tcPr>
          <w:p w14:paraId="117E97D5" w14:textId="77777777" w:rsidR="00CA361F" w:rsidRPr="00B40A8F" w:rsidRDefault="00CA361F" w:rsidP="00CA361F">
            <w:pPr>
              <w:jc w:val="center"/>
              <w:rPr>
                <w:sz w:val="20"/>
                <w:szCs w:val="32"/>
              </w:rPr>
            </w:pPr>
            <w:r w:rsidRPr="00B40A8F">
              <w:rPr>
                <w:sz w:val="20"/>
                <w:szCs w:val="32"/>
              </w:rPr>
              <w:t>0.87</w:t>
            </w:r>
          </w:p>
        </w:tc>
      </w:tr>
      <w:tr w:rsidR="00CA361F" w:rsidRPr="00785ACF" w14:paraId="17F694A0" w14:textId="77777777" w:rsidTr="0029492A">
        <w:trPr>
          <w:jc w:val="center"/>
        </w:trPr>
        <w:tc>
          <w:tcPr>
            <w:tcW w:w="2688" w:type="dxa"/>
            <w:tcBorders>
              <w:top w:val="nil"/>
              <w:left w:val="nil"/>
              <w:bottom w:val="nil"/>
              <w:right w:val="single" w:sz="6" w:space="0" w:color="auto"/>
            </w:tcBorders>
            <w:vAlign w:val="center"/>
          </w:tcPr>
          <w:p w14:paraId="769C625F"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Tasmania</w:t>
            </w:r>
          </w:p>
        </w:tc>
        <w:tc>
          <w:tcPr>
            <w:tcW w:w="640" w:type="dxa"/>
            <w:tcBorders>
              <w:top w:val="nil"/>
              <w:left w:val="single" w:sz="6" w:space="0" w:color="auto"/>
              <w:bottom w:val="nil"/>
              <w:right w:val="nil"/>
            </w:tcBorders>
            <w:vAlign w:val="center"/>
          </w:tcPr>
          <w:p w14:paraId="6876D058" w14:textId="77777777" w:rsidR="00CA361F" w:rsidRPr="00B40A8F" w:rsidRDefault="00CA361F" w:rsidP="00CA361F">
            <w:pPr>
              <w:jc w:val="center"/>
              <w:rPr>
                <w:sz w:val="20"/>
                <w:szCs w:val="20"/>
              </w:rPr>
            </w:pPr>
            <w:r w:rsidRPr="00B40A8F">
              <w:rPr>
                <w:sz w:val="20"/>
                <w:szCs w:val="20"/>
              </w:rPr>
              <w:t>0.97</w:t>
            </w:r>
          </w:p>
        </w:tc>
        <w:tc>
          <w:tcPr>
            <w:tcW w:w="640" w:type="dxa"/>
            <w:tcBorders>
              <w:top w:val="nil"/>
              <w:left w:val="nil"/>
              <w:bottom w:val="nil"/>
              <w:right w:val="nil"/>
            </w:tcBorders>
            <w:vAlign w:val="center"/>
          </w:tcPr>
          <w:p w14:paraId="3123A74C" w14:textId="77777777" w:rsidR="00CA361F" w:rsidRPr="00B40A8F" w:rsidRDefault="00CA361F" w:rsidP="00CA361F">
            <w:pPr>
              <w:jc w:val="center"/>
              <w:rPr>
                <w:sz w:val="20"/>
                <w:szCs w:val="20"/>
              </w:rPr>
            </w:pPr>
            <w:r w:rsidRPr="00B40A8F">
              <w:rPr>
                <w:sz w:val="20"/>
                <w:szCs w:val="20"/>
              </w:rPr>
              <w:t>0.95</w:t>
            </w:r>
          </w:p>
        </w:tc>
        <w:tc>
          <w:tcPr>
            <w:tcW w:w="641" w:type="dxa"/>
            <w:tcBorders>
              <w:top w:val="nil"/>
              <w:left w:val="nil"/>
              <w:bottom w:val="nil"/>
              <w:right w:val="nil"/>
            </w:tcBorders>
            <w:vAlign w:val="center"/>
          </w:tcPr>
          <w:p w14:paraId="3FD5D498" w14:textId="77777777" w:rsidR="00CA361F" w:rsidRPr="00B40A8F" w:rsidRDefault="00CA361F" w:rsidP="00CA361F">
            <w:pPr>
              <w:jc w:val="center"/>
              <w:rPr>
                <w:sz w:val="20"/>
                <w:szCs w:val="20"/>
              </w:rPr>
            </w:pPr>
            <w:r w:rsidRPr="00B40A8F">
              <w:rPr>
                <w:sz w:val="20"/>
                <w:szCs w:val="20"/>
              </w:rPr>
              <w:t>0.96</w:t>
            </w:r>
          </w:p>
        </w:tc>
        <w:tc>
          <w:tcPr>
            <w:tcW w:w="640" w:type="dxa"/>
            <w:tcBorders>
              <w:top w:val="nil"/>
              <w:left w:val="nil"/>
              <w:bottom w:val="nil"/>
              <w:right w:val="nil"/>
            </w:tcBorders>
            <w:vAlign w:val="center"/>
          </w:tcPr>
          <w:p w14:paraId="094997B9" w14:textId="77777777" w:rsidR="00CA361F" w:rsidRPr="00B40A8F" w:rsidRDefault="00CA361F" w:rsidP="00CA361F">
            <w:pPr>
              <w:jc w:val="center"/>
              <w:rPr>
                <w:sz w:val="20"/>
                <w:szCs w:val="20"/>
              </w:rPr>
            </w:pPr>
            <w:r w:rsidRPr="00B40A8F">
              <w:rPr>
                <w:sz w:val="20"/>
                <w:szCs w:val="20"/>
              </w:rPr>
              <w:t>0.97</w:t>
            </w:r>
          </w:p>
        </w:tc>
        <w:tc>
          <w:tcPr>
            <w:tcW w:w="641" w:type="dxa"/>
            <w:tcBorders>
              <w:top w:val="nil"/>
              <w:left w:val="nil"/>
              <w:bottom w:val="nil"/>
              <w:right w:val="single" w:sz="6" w:space="0" w:color="auto"/>
            </w:tcBorders>
            <w:vAlign w:val="center"/>
          </w:tcPr>
          <w:p w14:paraId="674E5924" w14:textId="77777777" w:rsidR="00CA361F" w:rsidRPr="00B40A8F" w:rsidRDefault="00CA361F" w:rsidP="00CA361F">
            <w:pPr>
              <w:jc w:val="center"/>
              <w:rPr>
                <w:sz w:val="20"/>
                <w:szCs w:val="20"/>
              </w:rPr>
            </w:pPr>
            <w:r w:rsidRPr="00B40A8F">
              <w:rPr>
                <w:sz w:val="20"/>
                <w:szCs w:val="20"/>
              </w:rPr>
              <w:t>0.96</w:t>
            </w:r>
          </w:p>
        </w:tc>
        <w:tc>
          <w:tcPr>
            <w:tcW w:w="640" w:type="dxa"/>
            <w:tcBorders>
              <w:top w:val="nil"/>
              <w:left w:val="single" w:sz="6" w:space="0" w:color="auto"/>
              <w:bottom w:val="nil"/>
              <w:right w:val="nil"/>
            </w:tcBorders>
            <w:vAlign w:val="center"/>
          </w:tcPr>
          <w:p w14:paraId="43BE981D" w14:textId="77777777" w:rsidR="00CA361F" w:rsidRPr="00B40A8F" w:rsidRDefault="00CA361F" w:rsidP="00CA361F">
            <w:pPr>
              <w:jc w:val="center"/>
              <w:rPr>
                <w:sz w:val="20"/>
                <w:szCs w:val="32"/>
              </w:rPr>
            </w:pPr>
            <w:r w:rsidRPr="00B40A8F">
              <w:rPr>
                <w:sz w:val="20"/>
                <w:szCs w:val="32"/>
              </w:rPr>
              <w:t>0.95</w:t>
            </w:r>
          </w:p>
        </w:tc>
        <w:tc>
          <w:tcPr>
            <w:tcW w:w="640" w:type="dxa"/>
            <w:tcBorders>
              <w:top w:val="nil"/>
              <w:left w:val="nil"/>
              <w:bottom w:val="nil"/>
              <w:right w:val="nil"/>
            </w:tcBorders>
            <w:vAlign w:val="center"/>
          </w:tcPr>
          <w:p w14:paraId="01DE68CE" w14:textId="77777777" w:rsidR="00CA361F" w:rsidRPr="00B40A8F" w:rsidRDefault="00CA361F" w:rsidP="00CA361F">
            <w:pPr>
              <w:jc w:val="center"/>
              <w:rPr>
                <w:sz w:val="20"/>
                <w:szCs w:val="32"/>
              </w:rPr>
            </w:pPr>
            <w:r w:rsidRPr="00B40A8F">
              <w:rPr>
                <w:sz w:val="20"/>
                <w:szCs w:val="32"/>
              </w:rPr>
              <w:t>0.94</w:t>
            </w:r>
          </w:p>
        </w:tc>
        <w:tc>
          <w:tcPr>
            <w:tcW w:w="641" w:type="dxa"/>
            <w:tcBorders>
              <w:top w:val="nil"/>
              <w:left w:val="nil"/>
              <w:bottom w:val="nil"/>
              <w:right w:val="nil"/>
            </w:tcBorders>
            <w:vAlign w:val="center"/>
          </w:tcPr>
          <w:p w14:paraId="4C675943" w14:textId="77777777" w:rsidR="00CA361F" w:rsidRPr="00B40A8F" w:rsidRDefault="00CA361F" w:rsidP="00CA361F">
            <w:pPr>
              <w:jc w:val="center"/>
              <w:rPr>
                <w:sz w:val="20"/>
                <w:szCs w:val="32"/>
              </w:rPr>
            </w:pPr>
            <w:r w:rsidRPr="00B40A8F">
              <w:rPr>
                <w:sz w:val="20"/>
                <w:szCs w:val="32"/>
              </w:rPr>
              <w:t>0.96</w:t>
            </w:r>
          </w:p>
        </w:tc>
        <w:tc>
          <w:tcPr>
            <w:tcW w:w="640" w:type="dxa"/>
            <w:tcBorders>
              <w:top w:val="nil"/>
              <w:left w:val="nil"/>
              <w:bottom w:val="nil"/>
              <w:right w:val="nil"/>
            </w:tcBorders>
            <w:vAlign w:val="center"/>
          </w:tcPr>
          <w:p w14:paraId="33D8428C" w14:textId="77777777" w:rsidR="00CA361F" w:rsidRPr="00B40A8F" w:rsidRDefault="00CA361F" w:rsidP="00CA361F">
            <w:pPr>
              <w:jc w:val="center"/>
              <w:rPr>
                <w:sz w:val="20"/>
                <w:szCs w:val="32"/>
              </w:rPr>
            </w:pPr>
            <w:r w:rsidRPr="00B40A8F">
              <w:rPr>
                <w:sz w:val="20"/>
                <w:szCs w:val="32"/>
              </w:rPr>
              <w:t>0.95</w:t>
            </w:r>
          </w:p>
        </w:tc>
        <w:tc>
          <w:tcPr>
            <w:tcW w:w="641" w:type="dxa"/>
            <w:tcBorders>
              <w:top w:val="nil"/>
              <w:left w:val="nil"/>
              <w:bottom w:val="nil"/>
            </w:tcBorders>
            <w:vAlign w:val="center"/>
          </w:tcPr>
          <w:p w14:paraId="0A7DD239" w14:textId="77777777" w:rsidR="00CA361F" w:rsidRPr="00B40A8F" w:rsidRDefault="00CA361F" w:rsidP="00CA361F">
            <w:pPr>
              <w:jc w:val="center"/>
              <w:rPr>
                <w:sz w:val="20"/>
                <w:szCs w:val="32"/>
              </w:rPr>
            </w:pPr>
            <w:r w:rsidRPr="00B40A8F">
              <w:rPr>
                <w:sz w:val="20"/>
                <w:szCs w:val="32"/>
              </w:rPr>
              <w:t>0.96</w:t>
            </w:r>
          </w:p>
        </w:tc>
      </w:tr>
      <w:tr w:rsidR="00CA361F" w:rsidRPr="00785ACF" w14:paraId="3C9F20B2" w14:textId="77777777" w:rsidTr="0029492A">
        <w:trPr>
          <w:jc w:val="center"/>
        </w:trPr>
        <w:tc>
          <w:tcPr>
            <w:tcW w:w="2688" w:type="dxa"/>
            <w:tcBorders>
              <w:top w:val="nil"/>
              <w:left w:val="nil"/>
              <w:bottom w:val="single" w:sz="6" w:space="0" w:color="auto"/>
              <w:right w:val="single" w:sz="6" w:space="0" w:color="auto"/>
            </w:tcBorders>
            <w:vAlign w:val="center"/>
          </w:tcPr>
          <w:p w14:paraId="69B06F47"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Australian Capital Territory</w:t>
            </w:r>
          </w:p>
        </w:tc>
        <w:tc>
          <w:tcPr>
            <w:tcW w:w="640" w:type="dxa"/>
            <w:tcBorders>
              <w:top w:val="nil"/>
              <w:left w:val="single" w:sz="6" w:space="0" w:color="auto"/>
              <w:bottom w:val="single" w:sz="6" w:space="0" w:color="auto"/>
              <w:right w:val="nil"/>
            </w:tcBorders>
            <w:vAlign w:val="center"/>
          </w:tcPr>
          <w:p w14:paraId="30A9D6A1" w14:textId="77777777" w:rsidR="00CA361F" w:rsidRPr="00B40A8F" w:rsidRDefault="00CA361F" w:rsidP="00CA361F">
            <w:pPr>
              <w:jc w:val="center"/>
              <w:rPr>
                <w:sz w:val="20"/>
                <w:szCs w:val="20"/>
              </w:rPr>
            </w:pPr>
            <w:r w:rsidRPr="00B40A8F">
              <w:rPr>
                <w:sz w:val="20"/>
                <w:szCs w:val="20"/>
              </w:rPr>
              <w:t>0.91</w:t>
            </w:r>
          </w:p>
        </w:tc>
        <w:tc>
          <w:tcPr>
            <w:tcW w:w="640" w:type="dxa"/>
            <w:tcBorders>
              <w:top w:val="nil"/>
              <w:left w:val="nil"/>
              <w:bottom w:val="single" w:sz="6" w:space="0" w:color="auto"/>
              <w:right w:val="nil"/>
            </w:tcBorders>
            <w:vAlign w:val="center"/>
          </w:tcPr>
          <w:p w14:paraId="7E9B9E2D" w14:textId="77777777" w:rsidR="00CA361F" w:rsidRPr="00B40A8F" w:rsidRDefault="00CA361F" w:rsidP="00CA361F">
            <w:pPr>
              <w:jc w:val="center"/>
              <w:rPr>
                <w:sz w:val="20"/>
                <w:szCs w:val="20"/>
              </w:rPr>
            </w:pPr>
            <w:r w:rsidRPr="00B40A8F">
              <w:rPr>
                <w:sz w:val="20"/>
                <w:szCs w:val="20"/>
              </w:rPr>
              <w:t>0.89</w:t>
            </w:r>
          </w:p>
        </w:tc>
        <w:tc>
          <w:tcPr>
            <w:tcW w:w="641" w:type="dxa"/>
            <w:tcBorders>
              <w:top w:val="nil"/>
              <w:left w:val="nil"/>
              <w:bottom w:val="single" w:sz="6" w:space="0" w:color="auto"/>
              <w:right w:val="nil"/>
            </w:tcBorders>
            <w:vAlign w:val="center"/>
          </w:tcPr>
          <w:p w14:paraId="33100D53" w14:textId="77777777" w:rsidR="00CA361F" w:rsidRPr="00B40A8F" w:rsidRDefault="00CA361F" w:rsidP="00CA361F">
            <w:pPr>
              <w:jc w:val="center"/>
              <w:rPr>
                <w:sz w:val="20"/>
                <w:szCs w:val="20"/>
              </w:rPr>
            </w:pPr>
            <w:r w:rsidRPr="00B40A8F">
              <w:rPr>
                <w:sz w:val="20"/>
                <w:szCs w:val="20"/>
              </w:rPr>
              <w:t>0.89</w:t>
            </w:r>
          </w:p>
        </w:tc>
        <w:tc>
          <w:tcPr>
            <w:tcW w:w="640" w:type="dxa"/>
            <w:tcBorders>
              <w:top w:val="nil"/>
              <w:left w:val="nil"/>
              <w:bottom w:val="single" w:sz="6" w:space="0" w:color="auto"/>
              <w:right w:val="nil"/>
            </w:tcBorders>
            <w:vAlign w:val="center"/>
          </w:tcPr>
          <w:p w14:paraId="09DBEF10" w14:textId="77777777" w:rsidR="00CA361F" w:rsidRPr="00B40A8F" w:rsidRDefault="00CA361F" w:rsidP="00CA361F">
            <w:pPr>
              <w:jc w:val="center"/>
              <w:rPr>
                <w:sz w:val="20"/>
                <w:szCs w:val="20"/>
              </w:rPr>
            </w:pPr>
            <w:r w:rsidRPr="00B40A8F">
              <w:rPr>
                <w:sz w:val="20"/>
                <w:szCs w:val="20"/>
              </w:rPr>
              <w:t>0.93</w:t>
            </w:r>
          </w:p>
        </w:tc>
        <w:tc>
          <w:tcPr>
            <w:tcW w:w="641" w:type="dxa"/>
            <w:tcBorders>
              <w:top w:val="nil"/>
              <w:left w:val="nil"/>
              <w:bottom w:val="single" w:sz="6" w:space="0" w:color="auto"/>
              <w:right w:val="single" w:sz="6" w:space="0" w:color="auto"/>
            </w:tcBorders>
            <w:vAlign w:val="center"/>
          </w:tcPr>
          <w:p w14:paraId="556EFE58" w14:textId="77777777" w:rsidR="00CA361F" w:rsidRPr="00B40A8F" w:rsidRDefault="00CA361F" w:rsidP="00CA361F">
            <w:pPr>
              <w:jc w:val="center"/>
              <w:rPr>
                <w:sz w:val="20"/>
                <w:szCs w:val="20"/>
              </w:rPr>
            </w:pPr>
            <w:r w:rsidRPr="00B40A8F">
              <w:rPr>
                <w:sz w:val="20"/>
                <w:szCs w:val="20"/>
              </w:rPr>
              <w:t>0.89</w:t>
            </w:r>
          </w:p>
        </w:tc>
        <w:tc>
          <w:tcPr>
            <w:tcW w:w="640" w:type="dxa"/>
            <w:tcBorders>
              <w:top w:val="nil"/>
              <w:left w:val="single" w:sz="6" w:space="0" w:color="auto"/>
              <w:bottom w:val="single" w:sz="6" w:space="0" w:color="auto"/>
              <w:right w:val="nil"/>
            </w:tcBorders>
            <w:vAlign w:val="center"/>
          </w:tcPr>
          <w:p w14:paraId="1E206564" w14:textId="77777777" w:rsidR="00CA361F" w:rsidRPr="00B40A8F" w:rsidRDefault="00CA361F" w:rsidP="00CA361F">
            <w:pPr>
              <w:jc w:val="center"/>
              <w:rPr>
                <w:sz w:val="20"/>
                <w:szCs w:val="32"/>
              </w:rPr>
            </w:pPr>
            <w:r w:rsidRPr="00B40A8F">
              <w:rPr>
                <w:sz w:val="20"/>
                <w:szCs w:val="32"/>
              </w:rPr>
              <w:t>0.92</w:t>
            </w:r>
          </w:p>
        </w:tc>
        <w:tc>
          <w:tcPr>
            <w:tcW w:w="640" w:type="dxa"/>
            <w:tcBorders>
              <w:top w:val="nil"/>
              <w:left w:val="nil"/>
              <w:bottom w:val="single" w:sz="6" w:space="0" w:color="auto"/>
              <w:right w:val="nil"/>
            </w:tcBorders>
            <w:vAlign w:val="center"/>
          </w:tcPr>
          <w:p w14:paraId="5BDE64A0" w14:textId="77777777" w:rsidR="00CA361F" w:rsidRPr="00B40A8F" w:rsidRDefault="00CA361F" w:rsidP="00CA361F">
            <w:pPr>
              <w:jc w:val="center"/>
              <w:rPr>
                <w:sz w:val="20"/>
                <w:szCs w:val="32"/>
              </w:rPr>
            </w:pPr>
            <w:r w:rsidRPr="00B40A8F">
              <w:rPr>
                <w:sz w:val="20"/>
                <w:szCs w:val="32"/>
              </w:rPr>
              <w:t>0.90</w:t>
            </w:r>
          </w:p>
        </w:tc>
        <w:tc>
          <w:tcPr>
            <w:tcW w:w="641" w:type="dxa"/>
            <w:tcBorders>
              <w:top w:val="nil"/>
              <w:left w:val="nil"/>
              <w:bottom w:val="single" w:sz="6" w:space="0" w:color="auto"/>
              <w:right w:val="nil"/>
            </w:tcBorders>
            <w:vAlign w:val="center"/>
          </w:tcPr>
          <w:p w14:paraId="7DC729E9" w14:textId="77777777" w:rsidR="00CA361F" w:rsidRPr="00B40A8F" w:rsidRDefault="00CA361F" w:rsidP="00CA361F">
            <w:pPr>
              <w:jc w:val="center"/>
              <w:rPr>
                <w:sz w:val="20"/>
                <w:szCs w:val="32"/>
              </w:rPr>
            </w:pPr>
            <w:r w:rsidRPr="00B40A8F">
              <w:rPr>
                <w:sz w:val="20"/>
                <w:szCs w:val="32"/>
              </w:rPr>
              <w:t>0.90</w:t>
            </w:r>
          </w:p>
        </w:tc>
        <w:tc>
          <w:tcPr>
            <w:tcW w:w="640" w:type="dxa"/>
            <w:tcBorders>
              <w:top w:val="nil"/>
              <w:left w:val="nil"/>
              <w:bottom w:val="single" w:sz="6" w:space="0" w:color="auto"/>
              <w:right w:val="nil"/>
            </w:tcBorders>
            <w:vAlign w:val="center"/>
          </w:tcPr>
          <w:p w14:paraId="5C9FBD0A" w14:textId="77777777" w:rsidR="00CA361F" w:rsidRPr="00B40A8F" w:rsidRDefault="00CA361F" w:rsidP="00CA361F">
            <w:pPr>
              <w:jc w:val="center"/>
              <w:rPr>
                <w:sz w:val="20"/>
                <w:szCs w:val="32"/>
              </w:rPr>
            </w:pPr>
            <w:r w:rsidRPr="00B40A8F">
              <w:rPr>
                <w:sz w:val="20"/>
                <w:szCs w:val="32"/>
              </w:rPr>
              <w:t>0.93</w:t>
            </w:r>
          </w:p>
        </w:tc>
        <w:tc>
          <w:tcPr>
            <w:tcW w:w="641" w:type="dxa"/>
            <w:tcBorders>
              <w:top w:val="nil"/>
              <w:left w:val="nil"/>
              <w:bottom w:val="single" w:sz="6" w:space="0" w:color="auto"/>
            </w:tcBorders>
            <w:vAlign w:val="center"/>
          </w:tcPr>
          <w:p w14:paraId="772409F6" w14:textId="77777777" w:rsidR="00CA361F" w:rsidRPr="00B40A8F" w:rsidRDefault="00CA361F" w:rsidP="00CA361F">
            <w:pPr>
              <w:jc w:val="center"/>
              <w:rPr>
                <w:sz w:val="20"/>
                <w:szCs w:val="32"/>
              </w:rPr>
            </w:pPr>
            <w:r w:rsidRPr="00B40A8F">
              <w:rPr>
                <w:sz w:val="20"/>
                <w:szCs w:val="32"/>
              </w:rPr>
              <w:t>0.89</w:t>
            </w:r>
          </w:p>
        </w:tc>
      </w:tr>
    </w:tbl>
    <w:p w14:paraId="3FB63018" w14:textId="77777777" w:rsidR="00DA1034" w:rsidRDefault="00DA1034" w:rsidP="00DA1034"/>
    <w:p w14:paraId="4B5FE3FB" w14:textId="77777777" w:rsidR="00DA1034" w:rsidRDefault="00DA1034" w:rsidP="00DA1034"/>
    <w:p w14:paraId="38B9F72A" w14:textId="77777777" w:rsidR="00CA361F" w:rsidRDefault="00CA361F" w:rsidP="00DA1034"/>
    <w:p w14:paraId="514BDE13" w14:textId="77777777" w:rsidR="00DA1034" w:rsidRDefault="00DA1034" w:rsidP="00DA1034">
      <w:r>
        <w:br w:type="page"/>
      </w:r>
    </w:p>
    <w:p w14:paraId="3B4AAE9D" w14:textId="77777777" w:rsidR="00DA1034" w:rsidRDefault="00DA1034" w:rsidP="00DA1034"/>
    <w:p w14:paraId="67783604" w14:textId="77777777" w:rsidR="00FC3EE8" w:rsidRDefault="00FC3EE8" w:rsidP="00DA1034"/>
    <w:p w14:paraId="3B199B25" w14:textId="77777777" w:rsidR="00DA1034" w:rsidRPr="00A20BF4" w:rsidRDefault="00DA1034" w:rsidP="00CA361F">
      <w:pPr>
        <w:pStyle w:val="TableTitle"/>
      </w:pPr>
      <w:r w:rsidRPr="00A20BF4">
        <w:t>Table A</w:t>
      </w:r>
      <w:r w:rsidR="00CA361F">
        <w:t>3</w:t>
      </w:r>
      <w:r w:rsidRPr="00A20BF4">
        <w:t xml:space="preserve">: Grade 7 </w:t>
      </w:r>
      <w:r w:rsidR="00CA361F">
        <w:t>participation rates</w:t>
      </w:r>
    </w:p>
    <w:tbl>
      <w:tblPr>
        <w:tblW w:w="9092" w:type="dxa"/>
        <w:jc w:val="center"/>
        <w:tblLayout w:type="fixed"/>
        <w:tblCellMar>
          <w:left w:w="0" w:type="dxa"/>
          <w:right w:w="0" w:type="dxa"/>
        </w:tblCellMar>
        <w:tblLook w:val="0000" w:firstRow="0" w:lastRow="0" w:firstColumn="0" w:lastColumn="0" w:noHBand="0" w:noVBand="0"/>
      </w:tblPr>
      <w:tblGrid>
        <w:gridCol w:w="2688"/>
        <w:gridCol w:w="640"/>
        <w:gridCol w:w="640"/>
        <w:gridCol w:w="641"/>
        <w:gridCol w:w="640"/>
        <w:gridCol w:w="641"/>
        <w:gridCol w:w="640"/>
        <w:gridCol w:w="640"/>
        <w:gridCol w:w="641"/>
        <w:gridCol w:w="640"/>
        <w:gridCol w:w="641"/>
      </w:tblGrid>
      <w:tr w:rsidR="00DA1034" w:rsidRPr="00785ACF" w14:paraId="71BC8F9A" w14:textId="77777777" w:rsidTr="0029492A">
        <w:trPr>
          <w:jc w:val="center"/>
        </w:trPr>
        <w:tc>
          <w:tcPr>
            <w:tcW w:w="2688" w:type="dxa"/>
            <w:tcBorders>
              <w:top w:val="double" w:sz="6" w:space="0" w:color="auto"/>
              <w:left w:val="nil"/>
              <w:bottom w:val="single" w:sz="6" w:space="0" w:color="auto"/>
              <w:right w:val="single" w:sz="6" w:space="0" w:color="auto"/>
            </w:tcBorders>
          </w:tcPr>
          <w:p w14:paraId="6061B9AC" w14:textId="77777777" w:rsidR="00DA1034" w:rsidRPr="00785ACF" w:rsidRDefault="00DA1034" w:rsidP="0029492A">
            <w:pPr>
              <w:contextualSpacing/>
              <w:rPr>
                <w:sz w:val="20"/>
                <w:szCs w:val="20"/>
              </w:rPr>
            </w:pPr>
          </w:p>
        </w:tc>
        <w:tc>
          <w:tcPr>
            <w:tcW w:w="3202" w:type="dxa"/>
            <w:gridSpan w:val="5"/>
            <w:tcBorders>
              <w:top w:val="double" w:sz="6" w:space="0" w:color="auto"/>
              <w:left w:val="single" w:sz="6" w:space="0" w:color="auto"/>
              <w:bottom w:val="single" w:sz="6" w:space="0" w:color="auto"/>
              <w:right w:val="single" w:sz="6" w:space="0" w:color="auto"/>
            </w:tcBorders>
            <w:vAlign w:val="center"/>
          </w:tcPr>
          <w:p w14:paraId="201CF685" w14:textId="77777777" w:rsidR="00DA1034" w:rsidRPr="00785ACF" w:rsidRDefault="00CA361F" w:rsidP="00CA361F">
            <w:pPr>
              <w:contextualSpacing/>
              <w:jc w:val="center"/>
              <w:rPr>
                <w:sz w:val="20"/>
                <w:szCs w:val="20"/>
              </w:rPr>
            </w:pPr>
            <w:r>
              <w:rPr>
                <w:sz w:val="20"/>
                <w:szCs w:val="20"/>
              </w:rPr>
              <w:t>Reading</w:t>
            </w:r>
          </w:p>
        </w:tc>
        <w:tc>
          <w:tcPr>
            <w:tcW w:w="3202" w:type="dxa"/>
            <w:gridSpan w:val="5"/>
            <w:tcBorders>
              <w:top w:val="double" w:sz="6" w:space="0" w:color="auto"/>
              <w:left w:val="single" w:sz="6" w:space="0" w:color="auto"/>
              <w:bottom w:val="single" w:sz="6" w:space="0" w:color="auto"/>
            </w:tcBorders>
            <w:vAlign w:val="center"/>
          </w:tcPr>
          <w:p w14:paraId="122A0989" w14:textId="77777777" w:rsidR="00DA1034" w:rsidRPr="00785ACF" w:rsidRDefault="00CA361F" w:rsidP="0029492A">
            <w:pPr>
              <w:contextualSpacing/>
              <w:jc w:val="center"/>
              <w:rPr>
                <w:sz w:val="20"/>
                <w:szCs w:val="20"/>
              </w:rPr>
            </w:pPr>
            <w:r>
              <w:rPr>
                <w:sz w:val="20"/>
                <w:szCs w:val="20"/>
              </w:rPr>
              <w:t>Numeracy</w:t>
            </w:r>
          </w:p>
        </w:tc>
      </w:tr>
      <w:tr w:rsidR="00DA1034" w:rsidRPr="00785ACF" w14:paraId="07F5C6DD" w14:textId="77777777" w:rsidTr="0029492A">
        <w:trPr>
          <w:jc w:val="center"/>
        </w:trPr>
        <w:tc>
          <w:tcPr>
            <w:tcW w:w="2688" w:type="dxa"/>
            <w:tcBorders>
              <w:top w:val="nil"/>
              <w:left w:val="nil"/>
              <w:bottom w:val="single" w:sz="6" w:space="0" w:color="auto"/>
              <w:right w:val="single" w:sz="6" w:space="0" w:color="auto"/>
            </w:tcBorders>
          </w:tcPr>
          <w:p w14:paraId="69DE080B" w14:textId="77777777" w:rsidR="00DA1034" w:rsidRPr="00785ACF" w:rsidRDefault="00DA1034" w:rsidP="0029492A">
            <w:pPr>
              <w:ind w:right="170"/>
              <w:contextualSpacing/>
              <w:jc w:val="center"/>
              <w:rPr>
                <w:i/>
                <w:iCs/>
                <w:sz w:val="20"/>
                <w:szCs w:val="20"/>
              </w:rPr>
            </w:pPr>
            <w:r w:rsidRPr="00785ACF">
              <w:rPr>
                <w:i/>
                <w:iCs/>
                <w:sz w:val="20"/>
                <w:szCs w:val="20"/>
              </w:rPr>
              <w:t>State/Territory</w:t>
            </w:r>
          </w:p>
        </w:tc>
        <w:tc>
          <w:tcPr>
            <w:tcW w:w="640" w:type="dxa"/>
            <w:tcBorders>
              <w:top w:val="nil"/>
              <w:left w:val="single" w:sz="6" w:space="0" w:color="auto"/>
              <w:bottom w:val="single" w:sz="6" w:space="0" w:color="auto"/>
              <w:right w:val="nil"/>
            </w:tcBorders>
            <w:vAlign w:val="center"/>
          </w:tcPr>
          <w:p w14:paraId="05E78D01" w14:textId="77777777" w:rsidR="00DA1034" w:rsidRPr="00785ACF" w:rsidRDefault="00DA1034" w:rsidP="0029492A">
            <w:pPr>
              <w:jc w:val="center"/>
              <w:rPr>
                <w:sz w:val="20"/>
                <w:szCs w:val="20"/>
              </w:rPr>
            </w:pPr>
            <w:r w:rsidRPr="00785ACF">
              <w:rPr>
                <w:sz w:val="20"/>
                <w:szCs w:val="20"/>
              </w:rPr>
              <w:t>2008</w:t>
            </w:r>
          </w:p>
        </w:tc>
        <w:tc>
          <w:tcPr>
            <w:tcW w:w="640" w:type="dxa"/>
            <w:tcBorders>
              <w:top w:val="nil"/>
              <w:left w:val="nil"/>
              <w:bottom w:val="single" w:sz="6" w:space="0" w:color="auto"/>
              <w:right w:val="nil"/>
            </w:tcBorders>
            <w:vAlign w:val="center"/>
          </w:tcPr>
          <w:p w14:paraId="1F190E45" w14:textId="77777777" w:rsidR="00DA1034" w:rsidRPr="00785ACF" w:rsidRDefault="00DA1034" w:rsidP="0029492A">
            <w:pPr>
              <w:jc w:val="center"/>
              <w:rPr>
                <w:sz w:val="20"/>
                <w:szCs w:val="20"/>
              </w:rPr>
            </w:pPr>
            <w:r w:rsidRPr="00785ACF">
              <w:rPr>
                <w:sz w:val="20"/>
                <w:szCs w:val="20"/>
              </w:rPr>
              <w:t>2009</w:t>
            </w:r>
          </w:p>
        </w:tc>
        <w:tc>
          <w:tcPr>
            <w:tcW w:w="641" w:type="dxa"/>
            <w:tcBorders>
              <w:top w:val="nil"/>
              <w:left w:val="nil"/>
              <w:bottom w:val="single" w:sz="6" w:space="0" w:color="auto"/>
              <w:right w:val="nil"/>
            </w:tcBorders>
            <w:vAlign w:val="center"/>
          </w:tcPr>
          <w:p w14:paraId="1F453BAB" w14:textId="77777777" w:rsidR="00DA1034" w:rsidRPr="00785ACF" w:rsidRDefault="00DA1034" w:rsidP="0029492A">
            <w:pPr>
              <w:jc w:val="center"/>
              <w:rPr>
                <w:sz w:val="20"/>
                <w:szCs w:val="20"/>
              </w:rPr>
            </w:pPr>
            <w:r w:rsidRPr="00785ACF">
              <w:rPr>
                <w:sz w:val="20"/>
                <w:szCs w:val="20"/>
              </w:rPr>
              <w:t>2010</w:t>
            </w:r>
          </w:p>
        </w:tc>
        <w:tc>
          <w:tcPr>
            <w:tcW w:w="640" w:type="dxa"/>
            <w:tcBorders>
              <w:top w:val="nil"/>
              <w:left w:val="nil"/>
              <w:bottom w:val="single" w:sz="6" w:space="0" w:color="auto"/>
              <w:right w:val="nil"/>
            </w:tcBorders>
            <w:vAlign w:val="center"/>
          </w:tcPr>
          <w:p w14:paraId="3E0ED75A" w14:textId="77777777" w:rsidR="00DA1034" w:rsidRPr="00785ACF" w:rsidRDefault="00DA1034" w:rsidP="0029492A">
            <w:pPr>
              <w:jc w:val="center"/>
              <w:rPr>
                <w:sz w:val="20"/>
                <w:szCs w:val="20"/>
              </w:rPr>
            </w:pPr>
            <w:r w:rsidRPr="00785ACF">
              <w:rPr>
                <w:sz w:val="20"/>
                <w:szCs w:val="20"/>
              </w:rPr>
              <w:t>2011</w:t>
            </w:r>
          </w:p>
        </w:tc>
        <w:tc>
          <w:tcPr>
            <w:tcW w:w="641" w:type="dxa"/>
            <w:tcBorders>
              <w:top w:val="nil"/>
              <w:left w:val="nil"/>
              <w:bottom w:val="single" w:sz="6" w:space="0" w:color="auto"/>
              <w:right w:val="single" w:sz="6" w:space="0" w:color="auto"/>
            </w:tcBorders>
            <w:vAlign w:val="center"/>
          </w:tcPr>
          <w:p w14:paraId="5A68756E" w14:textId="77777777" w:rsidR="00DA1034" w:rsidRPr="00785ACF" w:rsidRDefault="00DA1034" w:rsidP="0029492A">
            <w:pPr>
              <w:jc w:val="center"/>
              <w:rPr>
                <w:sz w:val="20"/>
                <w:szCs w:val="20"/>
              </w:rPr>
            </w:pPr>
            <w:r w:rsidRPr="00785ACF">
              <w:rPr>
                <w:sz w:val="20"/>
                <w:szCs w:val="20"/>
              </w:rPr>
              <w:t>2012</w:t>
            </w:r>
          </w:p>
        </w:tc>
        <w:tc>
          <w:tcPr>
            <w:tcW w:w="640" w:type="dxa"/>
            <w:tcBorders>
              <w:top w:val="nil"/>
              <w:left w:val="single" w:sz="6" w:space="0" w:color="auto"/>
              <w:bottom w:val="single" w:sz="6" w:space="0" w:color="auto"/>
              <w:right w:val="nil"/>
            </w:tcBorders>
            <w:vAlign w:val="center"/>
          </w:tcPr>
          <w:p w14:paraId="746DDFB7" w14:textId="77777777" w:rsidR="00DA1034" w:rsidRPr="00785ACF" w:rsidRDefault="00DA1034" w:rsidP="0029492A">
            <w:pPr>
              <w:contextualSpacing/>
              <w:jc w:val="center"/>
              <w:rPr>
                <w:sz w:val="20"/>
                <w:szCs w:val="20"/>
              </w:rPr>
            </w:pPr>
            <w:r w:rsidRPr="00785ACF">
              <w:rPr>
                <w:sz w:val="20"/>
                <w:szCs w:val="20"/>
              </w:rPr>
              <w:t>2008</w:t>
            </w:r>
          </w:p>
        </w:tc>
        <w:tc>
          <w:tcPr>
            <w:tcW w:w="640" w:type="dxa"/>
            <w:tcBorders>
              <w:top w:val="nil"/>
              <w:left w:val="nil"/>
              <w:bottom w:val="single" w:sz="6" w:space="0" w:color="auto"/>
              <w:right w:val="nil"/>
            </w:tcBorders>
            <w:vAlign w:val="center"/>
          </w:tcPr>
          <w:p w14:paraId="362C58C1" w14:textId="77777777" w:rsidR="00DA1034" w:rsidRPr="00785ACF" w:rsidRDefault="00DA1034" w:rsidP="0029492A">
            <w:pPr>
              <w:contextualSpacing/>
              <w:jc w:val="center"/>
              <w:rPr>
                <w:sz w:val="20"/>
                <w:szCs w:val="20"/>
              </w:rPr>
            </w:pPr>
            <w:r w:rsidRPr="00785ACF">
              <w:rPr>
                <w:sz w:val="20"/>
                <w:szCs w:val="20"/>
              </w:rPr>
              <w:t>2009</w:t>
            </w:r>
          </w:p>
        </w:tc>
        <w:tc>
          <w:tcPr>
            <w:tcW w:w="641" w:type="dxa"/>
            <w:tcBorders>
              <w:top w:val="nil"/>
              <w:left w:val="nil"/>
              <w:bottom w:val="single" w:sz="6" w:space="0" w:color="auto"/>
              <w:right w:val="nil"/>
            </w:tcBorders>
            <w:vAlign w:val="center"/>
          </w:tcPr>
          <w:p w14:paraId="5E55C5E5" w14:textId="77777777" w:rsidR="00DA1034" w:rsidRPr="00785ACF" w:rsidRDefault="00DA1034" w:rsidP="0029492A">
            <w:pPr>
              <w:contextualSpacing/>
              <w:jc w:val="center"/>
              <w:rPr>
                <w:sz w:val="20"/>
                <w:szCs w:val="20"/>
              </w:rPr>
            </w:pPr>
            <w:r w:rsidRPr="00785ACF">
              <w:rPr>
                <w:sz w:val="20"/>
                <w:szCs w:val="20"/>
              </w:rPr>
              <w:t>2010</w:t>
            </w:r>
          </w:p>
        </w:tc>
        <w:tc>
          <w:tcPr>
            <w:tcW w:w="640" w:type="dxa"/>
            <w:tcBorders>
              <w:top w:val="nil"/>
              <w:left w:val="nil"/>
              <w:bottom w:val="single" w:sz="6" w:space="0" w:color="auto"/>
              <w:right w:val="nil"/>
            </w:tcBorders>
            <w:vAlign w:val="center"/>
          </w:tcPr>
          <w:p w14:paraId="1B95BD9B" w14:textId="77777777" w:rsidR="00DA1034" w:rsidRPr="00785ACF" w:rsidRDefault="00DA1034" w:rsidP="0029492A">
            <w:pPr>
              <w:contextualSpacing/>
              <w:jc w:val="center"/>
              <w:rPr>
                <w:sz w:val="20"/>
                <w:szCs w:val="20"/>
              </w:rPr>
            </w:pPr>
            <w:r w:rsidRPr="00785ACF">
              <w:rPr>
                <w:sz w:val="20"/>
                <w:szCs w:val="20"/>
              </w:rPr>
              <w:t>2011</w:t>
            </w:r>
          </w:p>
        </w:tc>
        <w:tc>
          <w:tcPr>
            <w:tcW w:w="641" w:type="dxa"/>
            <w:tcBorders>
              <w:top w:val="nil"/>
              <w:left w:val="nil"/>
              <w:bottom w:val="single" w:sz="6" w:space="0" w:color="auto"/>
            </w:tcBorders>
            <w:vAlign w:val="center"/>
          </w:tcPr>
          <w:p w14:paraId="5A97ADDC" w14:textId="77777777" w:rsidR="00DA1034" w:rsidRPr="00785ACF" w:rsidRDefault="00DA1034" w:rsidP="0029492A">
            <w:pPr>
              <w:contextualSpacing/>
              <w:jc w:val="center"/>
              <w:rPr>
                <w:sz w:val="20"/>
                <w:szCs w:val="20"/>
              </w:rPr>
            </w:pPr>
            <w:r w:rsidRPr="00785ACF">
              <w:rPr>
                <w:sz w:val="20"/>
                <w:szCs w:val="20"/>
              </w:rPr>
              <w:t>2012</w:t>
            </w:r>
          </w:p>
        </w:tc>
      </w:tr>
      <w:tr w:rsidR="00CA361F" w:rsidRPr="00785ACF" w14:paraId="3C48490A" w14:textId="77777777" w:rsidTr="0029492A">
        <w:trPr>
          <w:jc w:val="center"/>
        </w:trPr>
        <w:tc>
          <w:tcPr>
            <w:tcW w:w="2688" w:type="dxa"/>
            <w:tcBorders>
              <w:top w:val="nil"/>
              <w:left w:val="nil"/>
              <w:bottom w:val="nil"/>
              <w:right w:val="single" w:sz="6" w:space="0" w:color="auto"/>
            </w:tcBorders>
            <w:vAlign w:val="center"/>
          </w:tcPr>
          <w:p w14:paraId="7ADABC03"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Northern Territory</w:t>
            </w:r>
          </w:p>
        </w:tc>
        <w:tc>
          <w:tcPr>
            <w:tcW w:w="640" w:type="dxa"/>
            <w:tcBorders>
              <w:top w:val="nil"/>
              <w:left w:val="single" w:sz="6" w:space="0" w:color="auto"/>
              <w:bottom w:val="nil"/>
              <w:right w:val="nil"/>
            </w:tcBorders>
            <w:vAlign w:val="center"/>
          </w:tcPr>
          <w:p w14:paraId="346BB3FB" w14:textId="77777777" w:rsidR="00CA361F" w:rsidRPr="00A20BF4" w:rsidRDefault="00CA361F" w:rsidP="00CA361F">
            <w:pPr>
              <w:jc w:val="center"/>
              <w:rPr>
                <w:sz w:val="20"/>
                <w:szCs w:val="32"/>
              </w:rPr>
            </w:pPr>
            <w:r w:rsidRPr="00A20BF4">
              <w:rPr>
                <w:sz w:val="20"/>
                <w:szCs w:val="32"/>
              </w:rPr>
              <w:t>0.63</w:t>
            </w:r>
          </w:p>
        </w:tc>
        <w:tc>
          <w:tcPr>
            <w:tcW w:w="640" w:type="dxa"/>
            <w:tcBorders>
              <w:top w:val="nil"/>
              <w:left w:val="nil"/>
              <w:bottom w:val="nil"/>
              <w:right w:val="nil"/>
            </w:tcBorders>
            <w:vAlign w:val="center"/>
          </w:tcPr>
          <w:p w14:paraId="22E46573" w14:textId="77777777" w:rsidR="00CA361F" w:rsidRPr="00A20BF4" w:rsidRDefault="00CA361F" w:rsidP="00CA361F">
            <w:pPr>
              <w:jc w:val="center"/>
              <w:rPr>
                <w:sz w:val="20"/>
                <w:szCs w:val="32"/>
              </w:rPr>
            </w:pPr>
            <w:r w:rsidRPr="00A20BF4">
              <w:rPr>
                <w:sz w:val="20"/>
                <w:szCs w:val="32"/>
              </w:rPr>
              <w:t>0.87</w:t>
            </w:r>
          </w:p>
        </w:tc>
        <w:tc>
          <w:tcPr>
            <w:tcW w:w="641" w:type="dxa"/>
            <w:tcBorders>
              <w:top w:val="nil"/>
              <w:left w:val="nil"/>
              <w:bottom w:val="nil"/>
              <w:right w:val="nil"/>
            </w:tcBorders>
            <w:vAlign w:val="center"/>
          </w:tcPr>
          <w:p w14:paraId="2F14A846" w14:textId="77777777" w:rsidR="00CA361F" w:rsidRPr="00A20BF4" w:rsidRDefault="00CA361F" w:rsidP="00CA361F">
            <w:pPr>
              <w:jc w:val="center"/>
              <w:rPr>
                <w:sz w:val="20"/>
                <w:szCs w:val="32"/>
              </w:rPr>
            </w:pPr>
            <w:r w:rsidRPr="00A20BF4">
              <w:rPr>
                <w:sz w:val="20"/>
                <w:szCs w:val="32"/>
              </w:rPr>
              <w:t>0.77</w:t>
            </w:r>
          </w:p>
        </w:tc>
        <w:tc>
          <w:tcPr>
            <w:tcW w:w="640" w:type="dxa"/>
            <w:tcBorders>
              <w:top w:val="nil"/>
              <w:left w:val="nil"/>
              <w:bottom w:val="nil"/>
              <w:right w:val="nil"/>
            </w:tcBorders>
            <w:vAlign w:val="center"/>
          </w:tcPr>
          <w:p w14:paraId="46884172" w14:textId="77777777" w:rsidR="00CA361F" w:rsidRPr="00A20BF4" w:rsidRDefault="00CA361F" w:rsidP="00CA361F">
            <w:pPr>
              <w:jc w:val="center"/>
              <w:rPr>
                <w:sz w:val="20"/>
                <w:szCs w:val="32"/>
              </w:rPr>
            </w:pPr>
            <w:r w:rsidRPr="00A20BF4">
              <w:rPr>
                <w:sz w:val="20"/>
                <w:szCs w:val="32"/>
              </w:rPr>
              <w:t>0.76</w:t>
            </w:r>
          </w:p>
        </w:tc>
        <w:tc>
          <w:tcPr>
            <w:tcW w:w="641" w:type="dxa"/>
            <w:tcBorders>
              <w:top w:val="nil"/>
              <w:left w:val="nil"/>
              <w:bottom w:val="nil"/>
              <w:right w:val="single" w:sz="6" w:space="0" w:color="auto"/>
            </w:tcBorders>
            <w:vAlign w:val="center"/>
          </w:tcPr>
          <w:p w14:paraId="74439F35" w14:textId="77777777" w:rsidR="00CA361F" w:rsidRPr="00A20BF4" w:rsidRDefault="00CA361F" w:rsidP="00CA361F">
            <w:pPr>
              <w:jc w:val="center"/>
              <w:rPr>
                <w:sz w:val="20"/>
                <w:szCs w:val="32"/>
              </w:rPr>
            </w:pPr>
            <w:r w:rsidRPr="00A20BF4">
              <w:rPr>
                <w:sz w:val="20"/>
                <w:szCs w:val="32"/>
              </w:rPr>
              <w:t>0.74</w:t>
            </w:r>
          </w:p>
        </w:tc>
        <w:tc>
          <w:tcPr>
            <w:tcW w:w="640" w:type="dxa"/>
            <w:tcBorders>
              <w:top w:val="nil"/>
              <w:left w:val="single" w:sz="6" w:space="0" w:color="auto"/>
              <w:bottom w:val="nil"/>
              <w:right w:val="nil"/>
            </w:tcBorders>
            <w:vAlign w:val="center"/>
          </w:tcPr>
          <w:p w14:paraId="613FAA90" w14:textId="77777777" w:rsidR="00CA361F" w:rsidRPr="00B40A8F" w:rsidRDefault="00CA361F" w:rsidP="00CA361F">
            <w:pPr>
              <w:jc w:val="center"/>
              <w:rPr>
                <w:sz w:val="20"/>
                <w:szCs w:val="32"/>
              </w:rPr>
            </w:pPr>
            <w:r w:rsidRPr="00B40A8F">
              <w:rPr>
                <w:sz w:val="20"/>
                <w:szCs w:val="32"/>
              </w:rPr>
              <w:t>0.65</w:t>
            </w:r>
          </w:p>
        </w:tc>
        <w:tc>
          <w:tcPr>
            <w:tcW w:w="640" w:type="dxa"/>
            <w:tcBorders>
              <w:top w:val="nil"/>
              <w:left w:val="nil"/>
              <w:bottom w:val="nil"/>
              <w:right w:val="nil"/>
            </w:tcBorders>
            <w:vAlign w:val="center"/>
          </w:tcPr>
          <w:p w14:paraId="627F4F52" w14:textId="77777777" w:rsidR="00CA361F" w:rsidRPr="00B40A8F" w:rsidRDefault="00CA361F" w:rsidP="00CA361F">
            <w:pPr>
              <w:jc w:val="center"/>
              <w:rPr>
                <w:sz w:val="20"/>
                <w:szCs w:val="32"/>
              </w:rPr>
            </w:pPr>
            <w:r w:rsidRPr="00B40A8F">
              <w:rPr>
                <w:sz w:val="20"/>
                <w:szCs w:val="32"/>
              </w:rPr>
              <w:t>0.87</w:t>
            </w:r>
          </w:p>
        </w:tc>
        <w:tc>
          <w:tcPr>
            <w:tcW w:w="641" w:type="dxa"/>
            <w:tcBorders>
              <w:top w:val="nil"/>
              <w:left w:val="nil"/>
              <w:bottom w:val="nil"/>
              <w:right w:val="nil"/>
            </w:tcBorders>
            <w:vAlign w:val="center"/>
          </w:tcPr>
          <w:p w14:paraId="4912E40A" w14:textId="77777777" w:rsidR="00CA361F" w:rsidRPr="00B40A8F" w:rsidRDefault="00CA361F" w:rsidP="00CA361F">
            <w:pPr>
              <w:jc w:val="center"/>
              <w:rPr>
                <w:sz w:val="20"/>
                <w:szCs w:val="32"/>
              </w:rPr>
            </w:pPr>
            <w:r w:rsidRPr="00B40A8F">
              <w:rPr>
                <w:sz w:val="20"/>
                <w:szCs w:val="32"/>
              </w:rPr>
              <w:t>0.81</w:t>
            </w:r>
          </w:p>
        </w:tc>
        <w:tc>
          <w:tcPr>
            <w:tcW w:w="640" w:type="dxa"/>
            <w:tcBorders>
              <w:top w:val="nil"/>
              <w:left w:val="nil"/>
              <w:bottom w:val="nil"/>
              <w:right w:val="nil"/>
            </w:tcBorders>
            <w:vAlign w:val="center"/>
          </w:tcPr>
          <w:p w14:paraId="74C33902" w14:textId="77777777" w:rsidR="00CA361F" w:rsidRPr="00B40A8F" w:rsidRDefault="00CA361F" w:rsidP="00CA361F">
            <w:pPr>
              <w:jc w:val="center"/>
              <w:rPr>
                <w:sz w:val="20"/>
                <w:szCs w:val="32"/>
              </w:rPr>
            </w:pPr>
            <w:r w:rsidRPr="00B40A8F">
              <w:rPr>
                <w:sz w:val="20"/>
                <w:szCs w:val="32"/>
              </w:rPr>
              <w:t>0.75</w:t>
            </w:r>
          </w:p>
        </w:tc>
        <w:tc>
          <w:tcPr>
            <w:tcW w:w="641" w:type="dxa"/>
            <w:tcBorders>
              <w:top w:val="nil"/>
              <w:left w:val="nil"/>
              <w:bottom w:val="nil"/>
            </w:tcBorders>
            <w:vAlign w:val="center"/>
          </w:tcPr>
          <w:p w14:paraId="006EF8B8" w14:textId="77777777" w:rsidR="00CA361F" w:rsidRPr="00B40A8F" w:rsidRDefault="00CA361F" w:rsidP="00CA361F">
            <w:pPr>
              <w:jc w:val="center"/>
              <w:rPr>
                <w:sz w:val="20"/>
                <w:szCs w:val="32"/>
              </w:rPr>
            </w:pPr>
            <w:r w:rsidRPr="00B40A8F">
              <w:rPr>
                <w:sz w:val="20"/>
                <w:szCs w:val="32"/>
              </w:rPr>
              <w:t>0.71</w:t>
            </w:r>
          </w:p>
        </w:tc>
      </w:tr>
      <w:tr w:rsidR="00CA361F" w:rsidRPr="00785ACF" w14:paraId="56AC0F88" w14:textId="77777777" w:rsidTr="0029492A">
        <w:trPr>
          <w:jc w:val="center"/>
        </w:trPr>
        <w:tc>
          <w:tcPr>
            <w:tcW w:w="2688" w:type="dxa"/>
            <w:tcBorders>
              <w:top w:val="nil"/>
              <w:left w:val="nil"/>
              <w:bottom w:val="nil"/>
              <w:right w:val="single" w:sz="6" w:space="0" w:color="auto"/>
            </w:tcBorders>
            <w:vAlign w:val="center"/>
          </w:tcPr>
          <w:p w14:paraId="3C26E631"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Western Australia</w:t>
            </w:r>
          </w:p>
        </w:tc>
        <w:tc>
          <w:tcPr>
            <w:tcW w:w="640" w:type="dxa"/>
            <w:tcBorders>
              <w:top w:val="nil"/>
              <w:left w:val="single" w:sz="6" w:space="0" w:color="auto"/>
              <w:bottom w:val="nil"/>
              <w:right w:val="nil"/>
            </w:tcBorders>
            <w:vAlign w:val="center"/>
          </w:tcPr>
          <w:p w14:paraId="3B59B7C6" w14:textId="77777777" w:rsidR="00CA361F" w:rsidRPr="00A20BF4" w:rsidRDefault="00CA361F" w:rsidP="00CA361F">
            <w:pPr>
              <w:jc w:val="center"/>
              <w:rPr>
                <w:sz w:val="20"/>
                <w:szCs w:val="32"/>
              </w:rPr>
            </w:pPr>
            <w:r w:rsidRPr="00A20BF4">
              <w:rPr>
                <w:sz w:val="20"/>
                <w:szCs w:val="32"/>
              </w:rPr>
              <w:t>0.86</w:t>
            </w:r>
          </w:p>
        </w:tc>
        <w:tc>
          <w:tcPr>
            <w:tcW w:w="640" w:type="dxa"/>
            <w:tcBorders>
              <w:top w:val="nil"/>
              <w:left w:val="nil"/>
              <w:bottom w:val="nil"/>
              <w:right w:val="nil"/>
            </w:tcBorders>
            <w:vAlign w:val="center"/>
          </w:tcPr>
          <w:p w14:paraId="7BEBF5D3" w14:textId="77777777" w:rsidR="00CA361F" w:rsidRPr="00A20BF4" w:rsidRDefault="00CA361F" w:rsidP="00CA361F">
            <w:pPr>
              <w:jc w:val="center"/>
              <w:rPr>
                <w:sz w:val="20"/>
                <w:szCs w:val="32"/>
              </w:rPr>
            </w:pPr>
            <w:r w:rsidRPr="00A20BF4">
              <w:rPr>
                <w:sz w:val="20"/>
                <w:szCs w:val="32"/>
              </w:rPr>
              <w:t>0.85</w:t>
            </w:r>
          </w:p>
        </w:tc>
        <w:tc>
          <w:tcPr>
            <w:tcW w:w="641" w:type="dxa"/>
            <w:tcBorders>
              <w:top w:val="nil"/>
              <w:left w:val="nil"/>
              <w:bottom w:val="nil"/>
              <w:right w:val="nil"/>
            </w:tcBorders>
            <w:vAlign w:val="center"/>
          </w:tcPr>
          <w:p w14:paraId="2642AA1F" w14:textId="77777777" w:rsidR="00CA361F" w:rsidRPr="00A20BF4" w:rsidRDefault="00CA361F" w:rsidP="00CA361F">
            <w:pPr>
              <w:jc w:val="center"/>
              <w:rPr>
                <w:sz w:val="20"/>
                <w:szCs w:val="32"/>
              </w:rPr>
            </w:pPr>
            <w:r w:rsidRPr="00A20BF4">
              <w:rPr>
                <w:sz w:val="20"/>
                <w:szCs w:val="32"/>
              </w:rPr>
              <w:t>0.85</w:t>
            </w:r>
          </w:p>
        </w:tc>
        <w:tc>
          <w:tcPr>
            <w:tcW w:w="640" w:type="dxa"/>
            <w:tcBorders>
              <w:top w:val="nil"/>
              <w:left w:val="nil"/>
              <w:bottom w:val="nil"/>
              <w:right w:val="nil"/>
            </w:tcBorders>
            <w:vAlign w:val="center"/>
          </w:tcPr>
          <w:p w14:paraId="66853483" w14:textId="77777777" w:rsidR="00CA361F" w:rsidRPr="00A20BF4" w:rsidRDefault="00CA361F" w:rsidP="00CA361F">
            <w:pPr>
              <w:jc w:val="center"/>
              <w:rPr>
                <w:sz w:val="20"/>
                <w:szCs w:val="32"/>
              </w:rPr>
            </w:pPr>
            <w:r w:rsidRPr="00A20BF4">
              <w:rPr>
                <w:sz w:val="20"/>
                <w:szCs w:val="32"/>
              </w:rPr>
              <w:t>0.83</w:t>
            </w:r>
          </w:p>
        </w:tc>
        <w:tc>
          <w:tcPr>
            <w:tcW w:w="641" w:type="dxa"/>
            <w:tcBorders>
              <w:top w:val="nil"/>
              <w:left w:val="nil"/>
              <w:bottom w:val="nil"/>
              <w:right w:val="single" w:sz="6" w:space="0" w:color="auto"/>
            </w:tcBorders>
            <w:vAlign w:val="center"/>
          </w:tcPr>
          <w:p w14:paraId="1F3C69D9" w14:textId="77777777" w:rsidR="00CA361F" w:rsidRPr="00A20BF4" w:rsidRDefault="00CA361F" w:rsidP="00CA361F">
            <w:pPr>
              <w:jc w:val="center"/>
              <w:rPr>
                <w:sz w:val="20"/>
                <w:szCs w:val="32"/>
              </w:rPr>
            </w:pPr>
            <w:r w:rsidRPr="00A20BF4">
              <w:rPr>
                <w:sz w:val="20"/>
                <w:szCs w:val="32"/>
              </w:rPr>
              <w:t>0.85</w:t>
            </w:r>
          </w:p>
        </w:tc>
        <w:tc>
          <w:tcPr>
            <w:tcW w:w="640" w:type="dxa"/>
            <w:tcBorders>
              <w:top w:val="nil"/>
              <w:left w:val="single" w:sz="6" w:space="0" w:color="auto"/>
              <w:bottom w:val="nil"/>
              <w:right w:val="nil"/>
            </w:tcBorders>
            <w:vAlign w:val="center"/>
          </w:tcPr>
          <w:p w14:paraId="6BB55EA7" w14:textId="77777777" w:rsidR="00CA361F" w:rsidRPr="00B40A8F" w:rsidRDefault="00CA361F" w:rsidP="00CA361F">
            <w:pPr>
              <w:jc w:val="center"/>
              <w:rPr>
                <w:sz w:val="20"/>
                <w:szCs w:val="32"/>
              </w:rPr>
            </w:pPr>
            <w:r w:rsidRPr="00B40A8F">
              <w:rPr>
                <w:sz w:val="20"/>
                <w:szCs w:val="32"/>
              </w:rPr>
              <w:t>0.84</w:t>
            </w:r>
          </w:p>
        </w:tc>
        <w:tc>
          <w:tcPr>
            <w:tcW w:w="640" w:type="dxa"/>
            <w:tcBorders>
              <w:top w:val="nil"/>
              <w:left w:val="nil"/>
              <w:bottom w:val="nil"/>
              <w:right w:val="nil"/>
            </w:tcBorders>
            <w:vAlign w:val="center"/>
          </w:tcPr>
          <w:p w14:paraId="27FD2F0C" w14:textId="77777777" w:rsidR="00CA361F" w:rsidRPr="00B40A8F" w:rsidRDefault="00CA361F" w:rsidP="00CA361F">
            <w:pPr>
              <w:jc w:val="center"/>
              <w:rPr>
                <w:sz w:val="20"/>
                <w:szCs w:val="32"/>
              </w:rPr>
            </w:pPr>
            <w:r w:rsidRPr="00B40A8F">
              <w:rPr>
                <w:sz w:val="20"/>
                <w:szCs w:val="32"/>
              </w:rPr>
              <w:t>0.84</w:t>
            </w:r>
          </w:p>
        </w:tc>
        <w:tc>
          <w:tcPr>
            <w:tcW w:w="641" w:type="dxa"/>
            <w:tcBorders>
              <w:top w:val="nil"/>
              <w:left w:val="nil"/>
              <w:bottom w:val="nil"/>
              <w:right w:val="nil"/>
            </w:tcBorders>
            <w:vAlign w:val="center"/>
          </w:tcPr>
          <w:p w14:paraId="370294EF" w14:textId="77777777" w:rsidR="00CA361F" w:rsidRPr="00B40A8F" w:rsidRDefault="00CA361F" w:rsidP="00CA361F">
            <w:pPr>
              <w:jc w:val="center"/>
              <w:rPr>
                <w:sz w:val="20"/>
                <w:szCs w:val="32"/>
              </w:rPr>
            </w:pPr>
            <w:r w:rsidRPr="00B40A8F">
              <w:rPr>
                <w:sz w:val="20"/>
                <w:szCs w:val="32"/>
              </w:rPr>
              <w:t>0.85</w:t>
            </w:r>
          </w:p>
        </w:tc>
        <w:tc>
          <w:tcPr>
            <w:tcW w:w="640" w:type="dxa"/>
            <w:tcBorders>
              <w:top w:val="nil"/>
              <w:left w:val="nil"/>
              <w:bottom w:val="nil"/>
              <w:right w:val="nil"/>
            </w:tcBorders>
            <w:vAlign w:val="center"/>
          </w:tcPr>
          <w:p w14:paraId="791869CA" w14:textId="77777777" w:rsidR="00CA361F" w:rsidRPr="00B40A8F" w:rsidRDefault="00CA361F" w:rsidP="00CA361F">
            <w:pPr>
              <w:jc w:val="center"/>
              <w:rPr>
                <w:sz w:val="20"/>
                <w:szCs w:val="32"/>
              </w:rPr>
            </w:pPr>
            <w:r w:rsidRPr="00B40A8F">
              <w:rPr>
                <w:sz w:val="20"/>
                <w:szCs w:val="32"/>
              </w:rPr>
              <w:t>0.82</w:t>
            </w:r>
          </w:p>
        </w:tc>
        <w:tc>
          <w:tcPr>
            <w:tcW w:w="641" w:type="dxa"/>
            <w:tcBorders>
              <w:top w:val="nil"/>
              <w:left w:val="nil"/>
              <w:bottom w:val="nil"/>
            </w:tcBorders>
            <w:vAlign w:val="center"/>
          </w:tcPr>
          <w:p w14:paraId="389F69D6" w14:textId="77777777" w:rsidR="00CA361F" w:rsidRPr="00B40A8F" w:rsidRDefault="00CA361F" w:rsidP="00CA361F">
            <w:pPr>
              <w:jc w:val="center"/>
              <w:rPr>
                <w:sz w:val="20"/>
                <w:szCs w:val="32"/>
              </w:rPr>
            </w:pPr>
            <w:r w:rsidRPr="00B40A8F">
              <w:rPr>
                <w:sz w:val="20"/>
                <w:szCs w:val="32"/>
              </w:rPr>
              <w:t>0.84</w:t>
            </w:r>
          </w:p>
        </w:tc>
      </w:tr>
      <w:tr w:rsidR="00CA361F" w:rsidRPr="00785ACF" w14:paraId="5F786109" w14:textId="77777777" w:rsidTr="0029492A">
        <w:trPr>
          <w:jc w:val="center"/>
        </w:trPr>
        <w:tc>
          <w:tcPr>
            <w:tcW w:w="2688" w:type="dxa"/>
            <w:tcBorders>
              <w:top w:val="nil"/>
              <w:left w:val="nil"/>
              <w:bottom w:val="nil"/>
              <w:right w:val="single" w:sz="6" w:space="0" w:color="auto"/>
            </w:tcBorders>
            <w:vAlign w:val="center"/>
          </w:tcPr>
          <w:p w14:paraId="21DCB79D"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Queensland</w:t>
            </w:r>
          </w:p>
        </w:tc>
        <w:tc>
          <w:tcPr>
            <w:tcW w:w="640" w:type="dxa"/>
            <w:tcBorders>
              <w:top w:val="nil"/>
              <w:left w:val="single" w:sz="6" w:space="0" w:color="auto"/>
              <w:bottom w:val="nil"/>
              <w:right w:val="nil"/>
            </w:tcBorders>
            <w:vAlign w:val="center"/>
          </w:tcPr>
          <w:p w14:paraId="2B7CC865" w14:textId="77777777" w:rsidR="00CA361F" w:rsidRPr="00A20BF4" w:rsidRDefault="00CA361F" w:rsidP="00CA361F">
            <w:pPr>
              <w:jc w:val="center"/>
              <w:rPr>
                <w:sz w:val="20"/>
                <w:szCs w:val="32"/>
              </w:rPr>
            </w:pPr>
            <w:r w:rsidRPr="00A20BF4">
              <w:rPr>
                <w:sz w:val="20"/>
                <w:szCs w:val="32"/>
              </w:rPr>
              <w:t>0.95</w:t>
            </w:r>
          </w:p>
        </w:tc>
        <w:tc>
          <w:tcPr>
            <w:tcW w:w="640" w:type="dxa"/>
            <w:tcBorders>
              <w:top w:val="nil"/>
              <w:left w:val="nil"/>
              <w:bottom w:val="nil"/>
              <w:right w:val="nil"/>
            </w:tcBorders>
            <w:vAlign w:val="center"/>
          </w:tcPr>
          <w:p w14:paraId="6D2093AB" w14:textId="77777777" w:rsidR="00CA361F" w:rsidRPr="00A20BF4" w:rsidRDefault="00CA361F" w:rsidP="00CA361F">
            <w:pPr>
              <w:jc w:val="center"/>
              <w:rPr>
                <w:sz w:val="20"/>
                <w:szCs w:val="32"/>
              </w:rPr>
            </w:pPr>
            <w:r w:rsidRPr="00A20BF4">
              <w:rPr>
                <w:sz w:val="20"/>
                <w:szCs w:val="32"/>
              </w:rPr>
              <w:t>0.94</w:t>
            </w:r>
          </w:p>
        </w:tc>
        <w:tc>
          <w:tcPr>
            <w:tcW w:w="641" w:type="dxa"/>
            <w:tcBorders>
              <w:top w:val="nil"/>
              <w:left w:val="nil"/>
              <w:bottom w:val="nil"/>
              <w:right w:val="nil"/>
            </w:tcBorders>
            <w:vAlign w:val="center"/>
          </w:tcPr>
          <w:p w14:paraId="15CE042E" w14:textId="77777777" w:rsidR="00CA361F" w:rsidRPr="00A20BF4" w:rsidRDefault="00CA361F" w:rsidP="00CA361F">
            <w:pPr>
              <w:jc w:val="center"/>
              <w:rPr>
                <w:sz w:val="20"/>
                <w:szCs w:val="32"/>
              </w:rPr>
            </w:pPr>
            <w:r w:rsidRPr="00A20BF4">
              <w:rPr>
                <w:sz w:val="20"/>
                <w:szCs w:val="32"/>
              </w:rPr>
              <w:t>0.94</w:t>
            </w:r>
          </w:p>
        </w:tc>
        <w:tc>
          <w:tcPr>
            <w:tcW w:w="640" w:type="dxa"/>
            <w:tcBorders>
              <w:top w:val="nil"/>
              <w:left w:val="nil"/>
              <w:bottom w:val="nil"/>
              <w:right w:val="nil"/>
            </w:tcBorders>
            <w:vAlign w:val="center"/>
          </w:tcPr>
          <w:p w14:paraId="1B831255" w14:textId="77777777" w:rsidR="00CA361F" w:rsidRPr="00A20BF4" w:rsidRDefault="00CA361F" w:rsidP="00CA361F">
            <w:pPr>
              <w:jc w:val="center"/>
              <w:rPr>
                <w:sz w:val="20"/>
                <w:szCs w:val="32"/>
              </w:rPr>
            </w:pPr>
            <w:r w:rsidRPr="00A20BF4">
              <w:rPr>
                <w:sz w:val="20"/>
                <w:szCs w:val="32"/>
              </w:rPr>
              <w:t>0.93</w:t>
            </w:r>
          </w:p>
        </w:tc>
        <w:tc>
          <w:tcPr>
            <w:tcW w:w="641" w:type="dxa"/>
            <w:tcBorders>
              <w:top w:val="nil"/>
              <w:left w:val="nil"/>
              <w:bottom w:val="nil"/>
              <w:right w:val="single" w:sz="6" w:space="0" w:color="auto"/>
            </w:tcBorders>
            <w:vAlign w:val="center"/>
          </w:tcPr>
          <w:p w14:paraId="0E631482" w14:textId="77777777" w:rsidR="00CA361F" w:rsidRPr="00A20BF4" w:rsidRDefault="00CA361F" w:rsidP="00CA361F">
            <w:pPr>
              <w:jc w:val="center"/>
              <w:rPr>
                <w:sz w:val="20"/>
                <w:szCs w:val="32"/>
              </w:rPr>
            </w:pPr>
            <w:r w:rsidRPr="00A20BF4">
              <w:rPr>
                <w:sz w:val="20"/>
                <w:szCs w:val="32"/>
              </w:rPr>
              <w:t>0.92</w:t>
            </w:r>
          </w:p>
        </w:tc>
        <w:tc>
          <w:tcPr>
            <w:tcW w:w="640" w:type="dxa"/>
            <w:tcBorders>
              <w:top w:val="nil"/>
              <w:left w:val="single" w:sz="6" w:space="0" w:color="auto"/>
              <w:bottom w:val="nil"/>
              <w:right w:val="nil"/>
            </w:tcBorders>
            <w:vAlign w:val="center"/>
          </w:tcPr>
          <w:p w14:paraId="0A167999" w14:textId="77777777" w:rsidR="00CA361F" w:rsidRPr="00B40A8F" w:rsidRDefault="00CA361F" w:rsidP="00CA361F">
            <w:pPr>
              <w:jc w:val="center"/>
              <w:rPr>
                <w:sz w:val="20"/>
                <w:szCs w:val="32"/>
              </w:rPr>
            </w:pPr>
            <w:r w:rsidRPr="00B40A8F">
              <w:rPr>
                <w:sz w:val="20"/>
                <w:szCs w:val="32"/>
              </w:rPr>
              <w:t>0.94</w:t>
            </w:r>
          </w:p>
        </w:tc>
        <w:tc>
          <w:tcPr>
            <w:tcW w:w="640" w:type="dxa"/>
            <w:tcBorders>
              <w:top w:val="nil"/>
              <w:left w:val="nil"/>
              <w:bottom w:val="nil"/>
              <w:right w:val="nil"/>
            </w:tcBorders>
            <w:vAlign w:val="center"/>
          </w:tcPr>
          <w:p w14:paraId="1B43A92B" w14:textId="77777777" w:rsidR="00CA361F" w:rsidRPr="00B40A8F" w:rsidRDefault="00CA361F" w:rsidP="00CA361F">
            <w:pPr>
              <w:jc w:val="center"/>
              <w:rPr>
                <w:sz w:val="20"/>
                <w:szCs w:val="32"/>
              </w:rPr>
            </w:pPr>
            <w:r w:rsidRPr="00B40A8F">
              <w:rPr>
                <w:sz w:val="20"/>
                <w:szCs w:val="32"/>
              </w:rPr>
              <w:t>0.93</w:t>
            </w:r>
          </w:p>
        </w:tc>
        <w:tc>
          <w:tcPr>
            <w:tcW w:w="641" w:type="dxa"/>
            <w:tcBorders>
              <w:top w:val="nil"/>
              <w:left w:val="nil"/>
              <w:bottom w:val="nil"/>
              <w:right w:val="nil"/>
            </w:tcBorders>
            <w:vAlign w:val="center"/>
          </w:tcPr>
          <w:p w14:paraId="0DBD8E25" w14:textId="77777777" w:rsidR="00CA361F" w:rsidRPr="00B40A8F" w:rsidRDefault="00CA361F" w:rsidP="00CA361F">
            <w:pPr>
              <w:jc w:val="center"/>
              <w:rPr>
                <w:sz w:val="20"/>
                <w:szCs w:val="32"/>
              </w:rPr>
            </w:pPr>
            <w:r w:rsidRPr="00B40A8F">
              <w:rPr>
                <w:sz w:val="20"/>
                <w:szCs w:val="32"/>
              </w:rPr>
              <w:t>0.93</w:t>
            </w:r>
          </w:p>
        </w:tc>
        <w:tc>
          <w:tcPr>
            <w:tcW w:w="640" w:type="dxa"/>
            <w:tcBorders>
              <w:top w:val="nil"/>
              <w:left w:val="nil"/>
              <w:bottom w:val="nil"/>
              <w:right w:val="nil"/>
            </w:tcBorders>
            <w:vAlign w:val="center"/>
          </w:tcPr>
          <w:p w14:paraId="3C02EBC5" w14:textId="77777777" w:rsidR="00CA361F" w:rsidRPr="00B40A8F" w:rsidRDefault="00CA361F" w:rsidP="00CA361F">
            <w:pPr>
              <w:jc w:val="center"/>
              <w:rPr>
                <w:sz w:val="20"/>
                <w:szCs w:val="32"/>
              </w:rPr>
            </w:pPr>
            <w:r w:rsidRPr="00B40A8F">
              <w:rPr>
                <w:sz w:val="20"/>
                <w:szCs w:val="32"/>
              </w:rPr>
              <w:t>0.92</w:t>
            </w:r>
          </w:p>
        </w:tc>
        <w:tc>
          <w:tcPr>
            <w:tcW w:w="641" w:type="dxa"/>
            <w:tcBorders>
              <w:top w:val="nil"/>
              <w:left w:val="nil"/>
              <w:bottom w:val="nil"/>
            </w:tcBorders>
            <w:vAlign w:val="center"/>
          </w:tcPr>
          <w:p w14:paraId="571BC599" w14:textId="77777777" w:rsidR="00CA361F" w:rsidRPr="00B40A8F" w:rsidRDefault="00CA361F" w:rsidP="00CA361F">
            <w:pPr>
              <w:jc w:val="center"/>
              <w:rPr>
                <w:sz w:val="20"/>
                <w:szCs w:val="32"/>
              </w:rPr>
            </w:pPr>
            <w:r w:rsidRPr="00B40A8F">
              <w:rPr>
                <w:sz w:val="20"/>
                <w:szCs w:val="32"/>
              </w:rPr>
              <w:t>0.90</w:t>
            </w:r>
          </w:p>
        </w:tc>
      </w:tr>
      <w:tr w:rsidR="00CA361F" w:rsidRPr="00785ACF" w14:paraId="7B94C32B" w14:textId="77777777" w:rsidTr="0029492A">
        <w:trPr>
          <w:jc w:val="center"/>
        </w:trPr>
        <w:tc>
          <w:tcPr>
            <w:tcW w:w="2688" w:type="dxa"/>
            <w:tcBorders>
              <w:top w:val="nil"/>
              <w:left w:val="nil"/>
              <w:bottom w:val="nil"/>
              <w:right w:val="single" w:sz="6" w:space="0" w:color="auto"/>
            </w:tcBorders>
            <w:vAlign w:val="center"/>
          </w:tcPr>
          <w:p w14:paraId="282F8A09"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New South Wales</w:t>
            </w:r>
          </w:p>
        </w:tc>
        <w:tc>
          <w:tcPr>
            <w:tcW w:w="640" w:type="dxa"/>
            <w:tcBorders>
              <w:top w:val="nil"/>
              <w:left w:val="single" w:sz="6" w:space="0" w:color="auto"/>
              <w:bottom w:val="nil"/>
              <w:right w:val="nil"/>
            </w:tcBorders>
            <w:vAlign w:val="center"/>
          </w:tcPr>
          <w:p w14:paraId="42CF4719" w14:textId="77777777" w:rsidR="00CA361F" w:rsidRPr="00A20BF4" w:rsidRDefault="00CA361F" w:rsidP="00CA361F">
            <w:pPr>
              <w:jc w:val="center"/>
              <w:rPr>
                <w:sz w:val="20"/>
                <w:szCs w:val="32"/>
              </w:rPr>
            </w:pPr>
            <w:r w:rsidRPr="00A20BF4">
              <w:rPr>
                <w:sz w:val="20"/>
                <w:szCs w:val="32"/>
              </w:rPr>
              <w:t>0.89</w:t>
            </w:r>
          </w:p>
        </w:tc>
        <w:tc>
          <w:tcPr>
            <w:tcW w:w="640" w:type="dxa"/>
            <w:tcBorders>
              <w:top w:val="nil"/>
              <w:left w:val="nil"/>
              <w:bottom w:val="nil"/>
              <w:right w:val="nil"/>
            </w:tcBorders>
            <w:vAlign w:val="center"/>
          </w:tcPr>
          <w:p w14:paraId="24E75D08" w14:textId="77777777" w:rsidR="00CA361F" w:rsidRPr="00A20BF4" w:rsidRDefault="00CA361F" w:rsidP="00CA361F">
            <w:pPr>
              <w:jc w:val="center"/>
              <w:rPr>
                <w:sz w:val="20"/>
                <w:szCs w:val="32"/>
              </w:rPr>
            </w:pPr>
            <w:r w:rsidRPr="00A20BF4">
              <w:rPr>
                <w:sz w:val="20"/>
                <w:szCs w:val="32"/>
              </w:rPr>
              <w:t>0.92</w:t>
            </w:r>
          </w:p>
        </w:tc>
        <w:tc>
          <w:tcPr>
            <w:tcW w:w="641" w:type="dxa"/>
            <w:tcBorders>
              <w:top w:val="nil"/>
              <w:left w:val="nil"/>
              <w:bottom w:val="nil"/>
              <w:right w:val="nil"/>
            </w:tcBorders>
            <w:vAlign w:val="center"/>
          </w:tcPr>
          <w:p w14:paraId="5AE8B24E" w14:textId="77777777" w:rsidR="00CA361F" w:rsidRPr="00A20BF4" w:rsidRDefault="00CA361F" w:rsidP="00CA361F">
            <w:pPr>
              <w:jc w:val="center"/>
              <w:rPr>
                <w:sz w:val="20"/>
                <w:szCs w:val="32"/>
              </w:rPr>
            </w:pPr>
            <w:r w:rsidRPr="00A20BF4">
              <w:rPr>
                <w:sz w:val="20"/>
                <w:szCs w:val="32"/>
              </w:rPr>
              <w:t>0.91</w:t>
            </w:r>
          </w:p>
        </w:tc>
        <w:tc>
          <w:tcPr>
            <w:tcW w:w="640" w:type="dxa"/>
            <w:tcBorders>
              <w:top w:val="nil"/>
              <w:left w:val="nil"/>
              <w:bottom w:val="nil"/>
              <w:right w:val="nil"/>
            </w:tcBorders>
            <w:vAlign w:val="center"/>
          </w:tcPr>
          <w:p w14:paraId="2C0D2F3B" w14:textId="77777777" w:rsidR="00CA361F" w:rsidRPr="00A20BF4" w:rsidRDefault="00CA361F" w:rsidP="00CA361F">
            <w:pPr>
              <w:jc w:val="center"/>
              <w:rPr>
                <w:sz w:val="20"/>
                <w:szCs w:val="32"/>
              </w:rPr>
            </w:pPr>
            <w:r w:rsidRPr="00A20BF4">
              <w:rPr>
                <w:sz w:val="20"/>
                <w:szCs w:val="32"/>
              </w:rPr>
              <w:t>0.91</w:t>
            </w:r>
          </w:p>
        </w:tc>
        <w:tc>
          <w:tcPr>
            <w:tcW w:w="641" w:type="dxa"/>
            <w:tcBorders>
              <w:top w:val="nil"/>
              <w:left w:val="nil"/>
              <w:bottom w:val="nil"/>
              <w:right w:val="single" w:sz="6" w:space="0" w:color="auto"/>
            </w:tcBorders>
            <w:vAlign w:val="center"/>
          </w:tcPr>
          <w:p w14:paraId="10D9BC8F" w14:textId="77777777" w:rsidR="00CA361F" w:rsidRPr="00A20BF4" w:rsidRDefault="00CA361F" w:rsidP="00CA361F">
            <w:pPr>
              <w:jc w:val="center"/>
              <w:rPr>
                <w:sz w:val="20"/>
                <w:szCs w:val="32"/>
              </w:rPr>
            </w:pPr>
            <w:r w:rsidRPr="00A20BF4">
              <w:rPr>
                <w:sz w:val="20"/>
                <w:szCs w:val="32"/>
              </w:rPr>
              <w:t>0.90</w:t>
            </w:r>
          </w:p>
        </w:tc>
        <w:tc>
          <w:tcPr>
            <w:tcW w:w="640" w:type="dxa"/>
            <w:tcBorders>
              <w:top w:val="nil"/>
              <w:left w:val="single" w:sz="6" w:space="0" w:color="auto"/>
              <w:bottom w:val="nil"/>
              <w:right w:val="nil"/>
            </w:tcBorders>
            <w:vAlign w:val="center"/>
          </w:tcPr>
          <w:p w14:paraId="0C23706D" w14:textId="77777777" w:rsidR="00CA361F" w:rsidRPr="00B40A8F" w:rsidRDefault="00CA361F" w:rsidP="00CA361F">
            <w:pPr>
              <w:jc w:val="center"/>
              <w:rPr>
                <w:sz w:val="20"/>
                <w:szCs w:val="32"/>
              </w:rPr>
            </w:pPr>
            <w:r w:rsidRPr="00B40A8F">
              <w:rPr>
                <w:sz w:val="20"/>
                <w:szCs w:val="32"/>
              </w:rPr>
              <w:t>0.88</w:t>
            </w:r>
          </w:p>
        </w:tc>
        <w:tc>
          <w:tcPr>
            <w:tcW w:w="640" w:type="dxa"/>
            <w:tcBorders>
              <w:top w:val="nil"/>
              <w:left w:val="nil"/>
              <w:bottom w:val="nil"/>
              <w:right w:val="nil"/>
            </w:tcBorders>
            <w:vAlign w:val="center"/>
          </w:tcPr>
          <w:p w14:paraId="469CBB19" w14:textId="77777777" w:rsidR="00CA361F" w:rsidRPr="00B40A8F" w:rsidRDefault="00CA361F" w:rsidP="00CA361F">
            <w:pPr>
              <w:jc w:val="center"/>
              <w:rPr>
                <w:sz w:val="20"/>
                <w:szCs w:val="32"/>
              </w:rPr>
            </w:pPr>
            <w:r w:rsidRPr="00B40A8F">
              <w:rPr>
                <w:sz w:val="20"/>
                <w:szCs w:val="32"/>
              </w:rPr>
              <w:t>0.90</w:t>
            </w:r>
          </w:p>
        </w:tc>
        <w:tc>
          <w:tcPr>
            <w:tcW w:w="641" w:type="dxa"/>
            <w:tcBorders>
              <w:top w:val="nil"/>
              <w:left w:val="nil"/>
              <w:bottom w:val="nil"/>
              <w:right w:val="nil"/>
            </w:tcBorders>
            <w:vAlign w:val="center"/>
          </w:tcPr>
          <w:p w14:paraId="05C27C16" w14:textId="77777777" w:rsidR="00CA361F" w:rsidRPr="00B40A8F" w:rsidRDefault="00CA361F" w:rsidP="00CA361F">
            <w:pPr>
              <w:jc w:val="center"/>
              <w:rPr>
                <w:sz w:val="20"/>
                <w:szCs w:val="32"/>
              </w:rPr>
            </w:pPr>
            <w:r w:rsidRPr="00B40A8F">
              <w:rPr>
                <w:sz w:val="20"/>
                <w:szCs w:val="32"/>
              </w:rPr>
              <w:t>0.89</w:t>
            </w:r>
          </w:p>
        </w:tc>
        <w:tc>
          <w:tcPr>
            <w:tcW w:w="640" w:type="dxa"/>
            <w:tcBorders>
              <w:top w:val="nil"/>
              <w:left w:val="nil"/>
              <w:bottom w:val="nil"/>
              <w:right w:val="nil"/>
            </w:tcBorders>
            <w:vAlign w:val="center"/>
          </w:tcPr>
          <w:p w14:paraId="111F0ED8" w14:textId="77777777" w:rsidR="00CA361F" w:rsidRPr="00B40A8F" w:rsidRDefault="00CA361F" w:rsidP="00CA361F">
            <w:pPr>
              <w:jc w:val="center"/>
              <w:rPr>
                <w:sz w:val="20"/>
                <w:szCs w:val="32"/>
              </w:rPr>
            </w:pPr>
            <w:r w:rsidRPr="00B40A8F">
              <w:rPr>
                <w:sz w:val="20"/>
                <w:szCs w:val="32"/>
              </w:rPr>
              <w:t>0.90</w:t>
            </w:r>
          </w:p>
        </w:tc>
        <w:tc>
          <w:tcPr>
            <w:tcW w:w="641" w:type="dxa"/>
            <w:tcBorders>
              <w:top w:val="nil"/>
              <w:left w:val="nil"/>
              <w:bottom w:val="nil"/>
            </w:tcBorders>
            <w:vAlign w:val="center"/>
          </w:tcPr>
          <w:p w14:paraId="6F892671" w14:textId="77777777" w:rsidR="00CA361F" w:rsidRPr="00B40A8F" w:rsidRDefault="00CA361F" w:rsidP="00CA361F">
            <w:pPr>
              <w:jc w:val="center"/>
              <w:rPr>
                <w:sz w:val="20"/>
                <w:szCs w:val="32"/>
              </w:rPr>
            </w:pPr>
            <w:r w:rsidRPr="00B40A8F">
              <w:rPr>
                <w:sz w:val="20"/>
                <w:szCs w:val="32"/>
              </w:rPr>
              <w:t>0.88</w:t>
            </w:r>
          </w:p>
        </w:tc>
      </w:tr>
      <w:tr w:rsidR="00CA361F" w:rsidRPr="00785ACF" w14:paraId="35ECEA91" w14:textId="77777777" w:rsidTr="0029492A">
        <w:trPr>
          <w:jc w:val="center"/>
        </w:trPr>
        <w:tc>
          <w:tcPr>
            <w:tcW w:w="2688" w:type="dxa"/>
            <w:tcBorders>
              <w:top w:val="nil"/>
              <w:left w:val="nil"/>
              <w:bottom w:val="nil"/>
              <w:right w:val="single" w:sz="6" w:space="0" w:color="auto"/>
            </w:tcBorders>
            <w:vAlign w:val="center"/>
          </w:tcPr>
          <w:p w14:paraId="15104E39"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Victoria</w:t>
            </w:r>
          </w:p>
        </w:tc>
        <w:tc>
          <w:tcPr>
            <w:tcW w:w="640" w:type="dxa"/>
            <w:tcBorders>
              <w:top w:val="nil"/>
              <w:left w:val="single" w:sz="6" w:space="0" w:color="auto"/>
              <w:bottom w:val="nil"/>
              <w:right w:val="nil"/>
            </w:tcBorders>
            <w:vAlign w:val="center"/>
          </w:tcPr>
          <w:p w14:paraId="2D958F17" w14:textId="77777777" w:rsidR="00CA361F" w:rsidRPr="00A20BF4" w:rsidRDefault="00CA361F" w:rsidP="00CA361F">
            <w:pPr>
              <w:jc w:val="center"/>
              <w:rPr>
                <w:sz w:val="20"/>
                <w:szCs w:val="32"/>
              </w:rPr>
            </w:pPr>
            <w:r w:rsidRPr="00A20BF4">
              <w:rPr>
                <w:sz w:val="20"/>
                <w:szCs w:val="32"/>
              </w:rPr>
              <w:t>0.85</w:t>
            </w:r>
          </w:p>
        </w:tc>
        <w:tc>
          <w:tcPr>
            <w:tcW w:w="640" w:type="dxa"/>
            <w:tcBorders>
              <w:top w:val="nil"/>
              <w:left w:val="nil"/>
              <w:bottom w:val="nil"/>
              <w:right w:val="nil"/>
            </w:tcBorders>
            <w:vAlign w:val="center"/>
          </w:tcPr>
          <w:p w14:paraId="5D9F298A" w14:textId="77777777" w:rsidR="00CA361F" w:rsidRPr="00A20BF4" w:rsidRDefault="00CA361F" w:rsidP="00CA361F">
            <w:pPr>
              <w:jc w:val="center"/>
              <w:rPr>
                <w:sz w:val="20"/>
                <w:szCs w:val="32"/>
              </w:rPr>
            </w:pPr>
            <w:r w:rsidRPr="00A20BF4">
              <w:rPr>
                <w:sz w:val="20"/>
                <w:szCs w:val="32"/>
              </w:rPr>
              <w:t>0.85</w:t>
            </w:r>
          </w:p>
        </w:tc>
        <w:tc>
          <w:tcPr>
            <w:tcW w:w="641" w:type="dxa"/>
            <w:tcBorders>
              <w:top w:val="nil"/>
              <w:left w:val="nil"/>
              <w:bottom w:val="nil"/>
              <w:right w:val="nil"/>
            </w:tcBorders>
            <w:vAlign w:val="center"/>
          </w:tcPr>
          <w:p w14:paraId="3E097836" w14:textId="77777777" w:rsidR="00CA361F" w:rsidRPr="00A20BF4" w:rsidRDefault="00CA361F" w:rsidP="00CA361F">
            <w:pPr>
              <w:jc w:val="center"/>
              <w:rPr>
                <w:sz w:val="20"/>
                <w:szCs w:val="32"/>
              </w:rPr>
            </w:pPr>
            <w:r w:rsidRPr="00A20BF4">
              <w:rPr>
                <w:sz w:val="20"/>
                <w:szCs w:val="32"/>
              </w:rPr>
              <w:t>0.84</w:t>
            </w:r>
          </w:p>
        </w:tc>
        <w:tc>
          <w:tcPr>
            <w:tcW w:w="640" w:type="dxa"/>
            <w:tcBorders>
              <w:top w:val="nil"/>
              <w:left w:val="nil"/>
              <w:bottom w:val="nil"/>
              <w:right w:val="nil"/>
            </w:tcBorders>
            <w:vAlign w:val="center"/>
          </w:tcPr>
          <w:p w14:paraId="0C558ABC" w14:textId="77777777" w:rsidR="00CA361F" w:rsidRPr="00A20BF4" w:rsidRDefault="00CA361F" w:rsidP="00CA361F">
            <w:pPr>
              <w:jc w:val="center"/>
              <w:rPr>
                <w:sz w:val="20"/>
                <w:szCs w:val="32"/>
              </w:rPr>
            </w:pPr>
            <w:r w:rsidRPr="00A20BF4">
              <w:rPr>
                <w:sz w:val="20"/>
                <w:szCs w:val="32"/>
              </w:rPr>
              <w:t>0.88</w:t>
            </w:r>
          </w:p>
        </w:tc>
        <w:tc>
          <w:tcPr>
            <w:tcW w:w="641" w:type="dxa"/>
            <w:tcBorders>
              <w:top w:val="nil"/>
              <w:left w:val="nil"/>
              <w:bottom w:val="nil"/>
              <w:right w:val="single" w:sz="6" w:space="0" w:color="auto"/>
            </w:tcBorders>
            <w:vAlign w:val="center"/>
          </w:tcPr>
          <w:p w14:paraId="48B7FCFA" w14:textId="77777777" w:rsidR="00CA361F" w:rsidRPr="00A20BF4" w:rsidRDefault="00CA361F" w:rsidP="00CA361F">
            <w:pPr>
              <w:jc w:val="center"/>
              <w:rPr>
                <w:sz w:val="20"/>
                <w:szCs w:val="32"/>
              </w:rPr>
            </w:pPr>
            <w:r w:rsidRPr="00A20BF4">
              <w:rPr>
                <w:sz w:val="20"/>
                <w:szCs w:val="32"/>
              </w:rPr>
              <w:t>0.86</w:t>
            </w:r>
          </w:p>
        </w:tc>
        <w:tc>
          <w:tcPr>
            <w:tcW w:w="640" w:type="dxa"/>
            <w:tcBorders>
              <w:top w:val="nil"/>
              <w:left w:val="single" w:sz="6" w:space="0" w:color="auto"/>
              <w:bottom w:val="nil"/>
              <w:right w:val="nil"/>
            </w:tcBorders>
            <w:vAlign w:val="center"/>
          </w:tcPr>
          <w:p w14:paraId="5570E2E1" w14:textId="77777777" w:rsidR="00CA361F" w:rsidRPr="00B40A8F" w:rsidRDefault="00CA361F" w:rsidP="00CA361F">
            <w:pPr>
              <w:jc w:val="center"/>
              <w:rPr>
                <w:sz w:val="20"/>
                <w:szCs w:val="32"/>
              </w:rPr>
            </w:pPr>
            <w:r w:rsidRPr="00B40A8F">
              <w:rPr>
                <w:sz w:val="20"/>
                <w:szCs w:val="32"/>
              </w:rPr>
              <w:t>0.87</w:t>
            </w:r>
          </w:p>
        </w:tc>
        <w:tc>
          <w:tcPr>
            <w:tcW w:w="640" w:type="dxa"/>
            <w:tcBorders>
              <w:top w:val="nil"/>
              <w:left w:val="nil"/>
              <w:bottom w:val="nil"/>
              <w:right w:val="nil"/>
            </w:tcBorders>
            <w:vAlign w:val="center"/>
          </w:tcPr>
          <w:p w14:paraId="66BCA655" w14:textId="77777777" w:rsidR="00CA361F" w:rsidRPr="00B40A8F" w:rsidRDefault="00CA361F" w:rsidP="00CA361F">
            <w:pPr>
              <w:jc w:val="center"/>
              <w:rPr>
                <w:sz w:val="20"/>
                <w:szCs w:val="32"/>
              </w:rPr>
            </w:pPr>
            <w:r w:rsidRPr="00B40A8F">
              <w:rPr>
                <w:sz w:val="20"/>
                <w:szCs w:val="32"/>
              </w:rPr>
              <w:t>0.86</w:t>
            </w:r>
          </w:p>
        </w:tc>
        <w:tc>
          <w:tcPr>
            <w:tcW w:w="641" w:type="dxa"/>
            <w:tcBorders>
              <w:top w:val="nil"/>
              <w:left w:val="nil"/>
              <w:bottom w:val="nil"/>
              <w:right w:val="nil"/>
            </w:tcBorders>
            <w:vAlign w:val="center"/>
          </w:tcPr>
          <w:p w14:paraId="6E45E77D" w14:textId="77777777" w:rsidR="00CA361F" w:rsidRPr="00B40A8F" w:rsidRDefault="00CA361F" w:rsidP="00CA361F">
            <w:pPr>
              <w:jc w:val="center"/>
              <w:rPr>
                <w:sz w:val="20"/>
                <w:szCs w:val="32"/>
              </w:rPr>
            </w:pPr>
            <w:r w:rsidRPr="00B40A8F">
              <w:rPr>
                <w:sz w:val="20"/>
                <w:szCs w:val="32"/>
              </w:rPr>
              <w:t>0.83</w:t>
            </w:r>
          </w:p>
        </w:tc>
        <w:tc>
          <w:tcPr>
            <w:tcW w:w="640" w:type="dxa"/>
            <w:tcBorders>
              <w:top w:val="nil"/>
              <w:left w:val="nil"/>
              <w:bottom w:val="nil"/>
              <w:right w:val="nil"/>
            </w:tcBorders>
            <w:vAlign w:val="center"/>
          </w:tcPr>
          <w:p w14:paraId="0ACE93BC" w14:textId="77777777" w:rsidR="00CA361F" w:rsidRPr="00B40A8F" w:rsidRDefault="00CA361F" w:rsidP="00CA361F">
            <w:pPr>
              <w:jc w:val="center"/>
              <w:rPr>
                <w:sz w:val="20"/>
                <w:szCs w:val="32"/>
              </w:rPr>
            </w:pPr>
            <w:r w:rsidRPr="00B40A8F">
              <w:rPr>
                <w:sz w:val="20"/>
                <w:szCs w:val="32"/>
              </w:rPr>
              <w:t>0.85</w:t>
            </w:r>
          </w:p>
        </w:tc>
        <w:tc>
          <w:tcPr>
            <w:tcW w:w="641" w:type="dxa"/>
            <w:tcBorders>
              <w:top w:val="nil"/>
              <w:left w:val="nil"/>
              <w:bottom w:val="nil"/>
            </w:tcBorders>
            <w:vAlign w:val="center"/>
          </w:tcPr>
          <w:p w14:paraId="32064760" w14:textId="77777777" w:rsidR="00CA361F" w:rsidRPr="00B40A8F" w:rsidRDefault="00CA361F" w:rsidP="00CA361F">
            <w:pPr>
              <w:jc w:val="center"/>
              <w:rPr>
                <w:sz w:val="20"/>
                <w:szCs w:val="32"/>
              </w:rPr>
            </w:pPr>
            <w:r w:rsidRPr="00B40A8F">
              <w:rPr>
                <w:sz w:val="20"/>
                <w:szCs w:val="32"/>
              </w:rPr>
              <w:t>0.85</w:t>
            </w:r>
          </w:p>
        </w:tc>
      </w:tr>
      <w:tr w:rsidR="00CA361F" w:rsidRPr="00785ACF" w14:paraId="4F943A72" w14:textId="77777777" w:rsidTr="0029492A">
        <w:trPr>
          <w:jc w:val="center"/>
        </w:trPr>
        <w:tc>
          <w:tcPr>
            <w:tcW w:w="2688" w:type="dxa"/>
            <w:tcBorders>
              <w:top w:val="nil"/>
              <w:left w:val="nil"/>
              <w:bottom w:val="nil"/>
              <w:right w:val="single" w:sz="6" w:space="0" w:color="auto"/>
            </w:tcBorders>
            <w:vAlign w:val="center"/>
          </w:tcPr>
          <w:p w14:paraId="5CEF9B75"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South Australia</w:t>
            </w:r>
          </w:p>
        </w:tc>
        <w:tc>
          <w:tcPr>
            <w:tcW w:w="640" w:type="dxa"/>
            <w:tcBorders>
              <w:top w:val="nil"/>
              <w:left w:val="single" w:sz="6" w:space="0" w:color="auto"/>
              <w:bottom w:val="nil"/>
              <w:right w:val="nil"/>
            </w:tcBorders>
            <w:vAlign w:val="center"/>
          </w:tcPr>
          <w:p w14:paraId="6F2BCF16" w14:textId="77777777" w:rsidR="00CA361F" w:rsidRPr="00A20BF4" w:rsidRDefault="00CA361F" w:rsidP="00CA361F">
            <w:pPr>
              <w:jc w:val="center"/>
              <w:rPr>
                <w:sz w:val="20"/>
                <w:szCs w:val="32"/>
              </w:rPr>
            </w:pPr>
            <w:r w:rsidRPr="00A20BF4">
              <w:rPr>
                <w:sz w:val="20"/>
                <w:szCs w:val="32"/>
              </w:rPr>
              <w:t>0.96</w:t>
            </w:r>
          </w:p>
        </w:tc>
        <w:tc>
          <w:tcPr>
            <w:tcW w:w="640" w:type="dxa"/>
            <w:tcBorders>
              <w:top w:val="nil"/>
              <w:left w:val="nil"/>
              <w:bottom w:val="nil"/>
              <w:right w:val="nil"/>
            </w:tcBorders>
            <w:vAlign w:val="center"/>
          </w:tcPr>
          <w:p w14:paraId="7EB47B4B" w14:textId="77777777" w:rsidR="00CA361F" w:rsidRPr="00A20BF4" w:rsidRDefault="00CA361F" w:rsidP="00CA361F">
            <w:pPr>
              <w:jc w:val="center"/>
              <w:rPr>
                <w:sz w:val="20"/>
                <w:szCs w:val="32"/>
              </w:rPr>
            </w:pPr>
            <w:r w:rsidRPr="00A20BF4">
              <w:rPr>
                <w:sz w:val="20"/>
                <w:szCs w:val="32"/>
              </w:rPr>
              <w:t>0.87</w:t>
            </w:r>
          </w:p>
        </w:tc>
        <w:tc>
          <w:tcPr>
            <w:tcW w:w="641" w:type="dxa"/>
            <w:tcBorders>
              <w:top w:val="nil"/>
              <w:left w:val="nil"/>
              <w:bottom w:val="nil"/>
              <w:right w:val="nil"/>
            </w:tcBorders>
            <w:vAlign w:val="center"/>
          </w:tcPr>
          <w:p w14:paraId="6CEAF9A2" w14:textId="77777777" w:rsidR="00CA361F" w:rsidRPr="00A20BF4" w:rsidRDefault="00CA361F" w:rsidP="00CA361F">
            <w:pPr>
              <w:jc w:val="center"/>
              <w:rPr>
                <w:sz w:val="20"/>
                <w:szCs w:val="32"/>
              </w:rPr>
            </w:pPr>
            <w:r w:rsidRPr="00A20BF4">
              <w:rPr>
                <w:sz w:val="20"/>
                <w:szCs w:val="32"/>
              </w:rPr>
              <w:t>0.86</w:t>
            </w:r>
          </w:p>
        </w:tc>
        <w:tc>
          <w:tcPr>
            <w:tcW w:w="640" w:type="dxa"/>
            <w:tcBorders>
              <w:top w:val="nil"/>
              <w:left w:val="nil"/>
              <w:bottom w:val="nil"/>
              <w:right w:val="nil"/>
            </w:tcBorders>
            <w:vAlign w:val="center"/>
          </w:tcPr>
          <w:p w14:paraId="0D77B2C4" w14:textId="77777777" w:rsidR="00CA361F" w:rsidRPr="00A20BF4" w:rsidRDefault="00CA361F" w:rsidP="00CA361F">
            <w:pPr>
              <w:jc w:val="center"/>
              <w:rPr>
                <w:sz w:val="20"/>
                <w:szCs w:val="32"/>
              </w:rPr>
            </w:pPr>
            <w:r w:rsidRPr="00A20BF4">
              <w:rPr>
                <w:sz w:val="20"/>
                <w:szCs w:val="32"/>
              </w:rPr>
              <w:t>0.88</w:t>
            </w:r>
          </w:p>
        </w:tc>
        <w:tc>
          <w:tcPr>
            <w:tcW w:w="641" w:type="dxa"/>
            <w:tcBorders>
              <w:top w:val="nil"/>
              <w:left w:val="nil"/>
              <w:bottom w:val="nil"/>
              <w:right w:val="single" w:sz="6" w:space="0" w:color="auto"/>
            </w:tcBorders>
            <w:vAlign w:val="center"/>
          </w:tcPr>
          <w:p w14:paraId="4411C6DF" w14:textId="77777777" w:rsidR="00CA361F" w:rsidRPr="00A20BF4" w:rsidRDefault="00CA361F" w:rsidP="00CA361F">
            <w:pPr>
              <w:jc w:val="center"/>
              <w:rPr>
                <w:sz w:val="20"/>
                <w:szCs w:val="32"/>
              </w:rPr>
            </w:pPr>
            <w:r w:rsidRPr="00A20BF4">
              <w:rPr>
                <w:sz w:val="20"/>
                <w:szCs w:val="32"/>
              </w:rPr>
              <w:t>0.86</w:t>
            </w:r>
          </w:p>
        </w:tc>
        <w:tc>
          <w:tcPr>
            <w:tcW w:w="640" w:type="dxa"/>
            <w:tcBorders>
              <w:top w:val="nil"/>
              <w:left w:val="single" w:sz="6" w:space="0" w:color="auto"/>
              <w:bottom w:val="nil"/>
              <w:right w:val="nil"/>
            </w:tcBorders>
            <w:vAlign w:val="center"/>
          </w:tcPr>
          <w:p w14:paraId="79071F4B" w14:textId="77777777" w:rsidR="00CA361F" w:rsidRPr="00B40A8F" w:rsidRDefault="00CA361F" w:rsidP="00CA361F">
            <w:pPr>
              <w:jc w:val="center"/>
              <w:rPr>
                <w:sz w:val="20"/>
                <w:szCs w:val="32"/>
              </w:rPr>
            </w:pPr>
            <w:r w:rsidRPr="00B40A8F">
              <w:rPr>
                <w:sz w:val="20"/>
                <w:szCs w:val="32"/>
              </w:rPr>
              <w:t>0.94</w:t>
            </w:r>
          </w:p>
        </w:tc>
        <w:tc>
          <w:tcPr>
            <w:tcW w:w="640" w:type="dxa"/>
            <w:tcBorders>
              <w:top w:val="nil"/>
              <w:left w:val="nil"/>
              <w:bottom w:val="nil"/>
              <w:right w:val="nil"/>
            </w:tcBorders>
            <w:vAlign w:val="center"/>
          </w:tcPr>
          <w:p w14:paraId="214868A0" w14:textId="77777777" w:rsidR="00CA361F" w:rsidRPr="00B40A8F" w:rsidRDefault="00CA361F" w:rsidP="00CA361F">
            <w:pPr>
              <w:jc w:val="center"/>
              <w:rPr>
                <w:sz w:val="20"/>
                <w:szCs w:val="32"/>
              </w:rPr>
            </w:pPr>
            <w:r w:rsidRPr="00B40A8F">
              <w:rPr>
                <w:sz w:val="20"/>
                <w:szCs w:val="32"/>
              </w:rPr>
              <w:t>0.87</w:t>
            </w:r>
          </w:p>
        </w:tc>
        <w:tc>
          <w:tcPr>
            <w:tcW w:w="641" w:type="dxa"/>
            <w:tcBorders>
              <w:top w:val="nil"/>
              <w:left w:val="nil"/>
              <w:bottom w:val="nil"/>
              <w:right w:val="nil"/>
            </w:tcBorders>
            <w:vAlign w:val="center"/>
          </w:tcPr>
          <w:p w14:paraId="71E276A6" w14:textId="77777777" w:rsidR="00CA361F" w:rsidRPr="00B40A8F" w:rsidRDefault="00CA361F" w:rsidP="00CA361F">
            <w:pPr>
              <w:jc w:val="center"/>
              <w:rPr>
                <w:sz w:val="20"/>
                <w:szCs w:val="32"/>
              </w:rPr>
            </w:pPr>
            <w:r w:rsidRPr="00B40A8F">
              <w:rPr>
                <w:sz w:val="20"/>
                <w:szCs w:val="32"/>
              </w:rPr>
              <w:t>0.84</w:t>
            </w:r>
          </w:p>
        </w:tc>
        <w:tc>
          <w:tcPr>
            <w:tcW w:w="640" w:type="dxa"/>
            <w:tcBorders>
              <w:top w:val="nil"/>
              <w:left w:val="nil"/>
              <w:bottom w:val="nil"/>
              <w:right w:val="nil"/>
            </w:tcBorders>
            <w:vAlign w:val="center"/>
          </w:tcPr>
          <w:p w14:paraId="17EEA4CF" w14:textId="77777777" w:rsidR="00CA361F" w:rsidRPr="00B40A8F" w:rsidRDefault="00CA361F" w:rsidP="00CA361F">
            <w:pPr>
              <w:jc w:val="center"/>
              <w:rPr>
                <w:sz w:val="20"/>
                <w:szCs w:val="32"/>
              </w:rPr>
            </w:pPr>
            <w:r w:rsidRPr="00B40A8F">
              <w:rPr>
                <w:sz w:val="20"/>
                <w:szCs w:val="32"/>
              </w:rPr>
              <w:t>0.87</w:t>
            </w:r>
          </w:p>
        </w:tc>
        <w:tc>
          <w:tcPr>
            <w:tcW w:w="641" w:type="dxa"/>
            <w:tcBorders>
              <w:top w:val="nil"/>
              <w:left w:val="nil"/>
              <w:bottom w:val="nil"/>
            </w:tcBorders>
            <w:vAlign w:val="center"/>
          </w:tcPr>
          <w:p w14:paraId="39355F42" w14:textId="77777777" w:rsidR="00CA361F" w:rsidRPr="00B40A8F" w:rsidRDefault="00CA361F" w:rsidP="00CA361F">
            <w:pPr>
              <w:jc w:val="center"/>
              <w:rPr>
                <w:sz w:val="20"/>
                <w:szCs w:val="32"/>
              </w:rPr>
            </w:pPr>
            <w:r w:rsidRPr="00B40A8F">
              <w:rPr>
                <w:sz w:val="20"/>
                <w:szCs w:val="32"/>
              </w:rPr>
              <w:t>0.83</w:t>
            </w:r>
          </w:p>
        </w:tc>
      </w:tr>
      <w:tr w:rsidR="00CA361F" w:rsidRPr="00785ACF" w14:paraId="38FECF38" w14:textId="77777777" w:rsidTr="0029492A">
        <w:trPr>
          <w:jc w:val="center"/>
        </w:trPr>
        <w:tc>
          <w:tcPr>
            <w:tcW w:w="2688" w:type="dxa"/>
            <w:tcBorders>
              <w:top w:val="nil"/>
              <w:left w:val="nil"/>
              <w:bottom w:val="nil"/>
              <w:right w:val="single" w:sz="6" w:space="0" w:color="auto"/>
            </w:tcBorders>
            <w:vAlign w:val="center"/>
          </w:tcPr>
          <w:p w14:paraId="04930E98"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Tasmania</w:t>
            </w:r>
          </w:p>
        </w:tc>
        <w:tc>
          <w:tcPr>
            <w:tcW w:w="640" w:type="dxa"/>
            <w:tcBorders>
              <w:top w:val="nil"/>
              <w:left w:val="single" w:sz="6" w:space="0" w:color="auto"/>
              <w:bottom w:val="nil"/>
              <w:right w:val="nil"/>
            </w:tcBorders>
            <w:vAlign w:val="center"/>
          </w:tcPr>
          <w:p w14:paraId="18A39545" w14:textId="77777777" w:rsidR="00CA361F" w:rsidRPr="00A20BF4" w:rsidRDefault="00CA361F" w:rsidP="00CA361F">
            <w:pPr>
              <w:jc w:val="center"/>
              <w:rPr>
                <w:sz w:val="20"/>
                <w:szCs w:val="32"/>
              </w:rPr>
            </w:pPr>
            <w:r w:rsidRPr="00A20BF4">
              <w:rPr>
                <w:sz w:val="20"/>
                <w:szCs w:val="32"/>
              </w:rPr>
              <w:t>0.93</w:t>
            </w:r>
          </w:p>
        </w:tc>
        <w:tc>
          <w:tcPr>
            <w:tcW w:w="640" w:type="dxa"/>
            <w:tcBorders>
              <w:top w:val="nil"/>
              <w:left w:val="nil"/>
              <w:bottom w:val="nil"/>
              <w:right w:val="nil"/>
            </w:tcBorders>
            <w:vAlign w:val="center"/>
          </w:tcPr>
          <w:p w14:paraId="56A22672" w14:textId="77777777" w:rsidR="00CA361F" w:rsidRPr="00A20BF4" w:rsidRDefault="00CA361F" w:rsidP="00CA361F">
            <w:pPr>
              <w:jc w:val="center"/>
              <w:rPr>
                <w:sz w:val="20"/>
                <w:szCs w:val="32"/>
              </w:rPr>
            </w:pPr>
            <w:r w:rsidRPr="00A20BF4">
              <w:rPr>
                <w:sz w:val="20"/>
                <w:szCs w:val="32"/>
              </w:rPr>
              <w:t>0.89</w:t>
            </w:r>
          </w:p>
        </w:tc>
        <w:tc>
          <w:tcPr>
            <w:tcW w:w="641" w:type="dxa"/>
            <w:tcBorders>
              <w:top w:val="nil"/>
              <w:left w:val="nil"/>
              <w:bottom w:val="nil"/>
              <w:right w:val="nil"/>
            </w:tcBorders>
            <w:vAlign w:val="center"/>
          </w:tcPr>
          <w:p w14:paraId="25A9CDF7" w14:textId="77777777" w:rsidR="00CA361F" w:rsidRPr="00A20BF4" w:rsidRDefault="00CA361F" w:rsidP="00CA361F">
            <w:pPr>
              <w:jc w:val="center"/>
              <w:rPr>
                <w:sz w:val="20"/>
                <w:szCs w:val="32"/>
              </w:rPr>
            </w:pPr>
            <w:r w:rsidRPr="00A20BF4">
              <w:rPr>
                <w:sz w:val="20"/>
                <w:szCs w:val="32"/>
              </w:rPr>
              <w:t>0.94</w:t>
            </w:r>
          </w:p>
        </w:tc>
        <w:tc>
          <w:tcPr>
            <w:tcW w:w="640" w:type="dxa"/>
            <w:tcBorders>
              <w:top w:val="nil"/>
              <w:left w:val="nil"/>
              <w:bottom w:val="nil"/>
              <w:right w:val="nil"/>
            </w:tcBorders>
            <w:vAlign w:val="center"/>
          </w:tcPr>
          <w:p w14:paraId="7E4F3B71" w14:textId="77777777" w:rsidR="00CA361F" w:rsidRPr="00A20BF4" w:rsidRDefault="00CA361F" w:rsidP="00CA361F">
            <w:pPr>
              <w:jc w:val="center"/>
              <w:rPr>
                <w:sz w:val="20"/>
                <w:szCs w:val="32"/>
              </w:rPr>
            </w:pPr>
            <w:r w:rsidRPr="00A20BF4">
              <w:rPr>
                <w:sz w:val="20"/>
                <w:szCs w:val="32"/>
              </w:rPr>
              <w:t>0.89</w:t>
            </w:r>
          </w:p>
        </w:tc>
        <w:tc>
          <w:tcPr>
            <w:tcW w:w="641" w:type="dxa"/>
            <w:tcBorders>
              <w:top w:val="nil"/>
              <w:left w:val="nil"/>
              <w:bottom w:val="nil"/>
              <w:right w:val="single" w:sz="6" w:space="0" w:color="auto"/>
            </w:tcBorders>
            <w:vAlign w:val="center"/>
          </w:tcPr>
          <w:p w14:paraId="40A85F87" w14:textId="77777777" w:rsidR="00CA361F" w:rsidRPr="00A20BF4" w:rsidRDefault="00CA361F" w:rsidP="00CA361F">
            <w:pPr>
              <w:jc w:val="center"/>
              <w:rPr>
                <w:sz w:val="20"/>
                <w:szCs w:val="32"/>
              </w:rPr>
            </w:pPr>
            <w:r w:rsidRPr="00A20BF4">
              <w:rPr>
                <w:sz w:val="20"/>
                <w:szCs w:val="32"/>
              </w:rPr>
              <w:t>0.93</w:t>
            </w:r>
          </w:p>
        </w:tc>
        <w:tc>
          <w:tcPr>
            <w:tcW w:w="640" w:type="dxa"/>
            <w:tcBorders>
              <w:top w:val="nil"/>
              <w:left w:val="single" w:sz="6" w:space="0" w:color="auto"/>
              <w:bottom w:val="nil"/>
              <w:right w:val="nil"/>
            </w:tcBorders>
            <w:vAlign w:val="center"/>
          </w:tcPr>
          <w:p w14:paraId="16659317" w14:textId="77777777" w:rsidR="00CA361F" w:rsidRPr="00B40A8F" w:rsidRDefault="00CA361F" w:rsidP="00CA361F">
            <w:pPr>
              <w:jc w:val="center"/>
              <w:rPr>
                <w:sz w:val="20"/>
                <w:szCs w:val="32"/>
              </w:rPr>
            </w:pPr>
            <w:r w:rsidRPr="00B40A8F">
              <w:rPr>
                <w:sz w:val="20"/>
                <w:szCs w:val="32"/>
              </w:rPr>
              <w:t>0.94</w:t>
            </w:r>
          </w:p>
        </w:tc>
        <w:tc>
          <w:tcPr>
            <w:tcW w:w="640" w:type="dxa"/>
            <w:tcBorders>
              <w:top w:val="nil"/>
              <w:left w:val="nil"/>
              <w:bottom w:val="nil"/>
              <w:right w:val="nil"/>
            </w:tcBorders>
            <w:vAlign w:val="center"/>
          </w:tcPr>
          <w:p w14:paraId="51C8930D" w14:textId="77777777" w:rsidR="00CA361F" w:rsidRPr="00B40A8F" w:rsidRDefault="00CA361F" w:rsidP="00CA361F">
            <w:pPr>
              <w:jc w:val="center"/>
              <w:rPr>
                <w:sz w:val="20"/>
                <w:szCs w:val="32"/>
              </w:rPr>
            </w:pPr>
            <w:r w:rsidRPr="00B40A8F">
              <w:rPr>
                <w:sz w:val="20"/>
                <w:szCs w:val="32"/>
              </w:rPr>
              <w:t>0.88</w:t>
            </w:r>
          </w:p>
        </w:tc>
        <w:tc>
          <w:tcPr>
            <w:tcW w:w="641" w:type="dxa"/>
            <w:tcBorders>
              <w:top w:val="nil"/>
              <w:left w:val="nil"/>
              <w:bottom w:val="nil"/>
              <w:right w:val="nil"/>
            </w:tcBorders>
            <w:vAlign w:val="center"/>
          </w:tcPr>
          <w:p w14:paraId="16BE2E52" w14:textId="77777777" w:rsidR="00CA361F" w:rsidRPr="00B40A8F" w:rsidRDefault="00CA361F" w:rsidP="00CA361F">
            <w:pPr>
              <w:jc w:val="center"/>
              <w:rPr>
                <w:sz w:val="20"/>
                <w:szCs w:val="32"/>
              </w:rPr>
            </w:pPr>
            <w:r w:rsidRPr="00B40A8F">
              <w:rPr>
                <w:sz w:val="20"/>
                <w:szCs w:val="32"/>
              </w:rPr>
              <w:t>0.93</w:t>
            </w:r>
          </w:p>
        </w:tc>
        <w:tc>
          <w:tcPr>
            <w:tcW w:w="640" w:type="dxa"/>
            <w:tcBorders>
              <w:top w:val="nil"/>
              <w:left w:val="nil"/>
              <w:bottom w:val="nil"/>
              <w:right w:val="nil"/>
            </w:tcBorders>
            <w:vAlign w:val="center"/>
          </w:tcPr>
          <w:p w14:paraId="1903B60A" w14:textId="77777777" w:rsidR="00CA361F" w:rsidRPr="00B40A8F" w:rsidRDefault="00CA361F" w:rsidP="00CA361F">
            <w:pPr>
              <w:jc w:val="center"/>
              <w:rPr>
                <w:sz w:val="20"/>
                <w:szCs w:val="32"/>
              </w:rPr>
            </w:pPr>
            <w:r w:rsidRPr="00B40A8F">
              <w:rPr>
                <w:sz w:val="20"/>
                <w:szCs w:val="32"/>
              </w:rPr>
              <w:t>0.89</w:t>
            </w:r>
          </w:p>
        </w:tc>
        <w:tc>
          <w:tcPr>
            <w:tcW w:w="641" w:type="dxa"/>
            <w:tcBorders>
              <w:top w:val="nil"/>
              <w:left w:val="nil"/>
              <w:bottom w:val="nil"/>
            </w:tcBorders>
            <w:vAlign w:val="center"/>
          </w:tcPr>
          <w:p w14:paraId="3E6B6497" w14:textId="77777777" w:rsidR="00CA361F" w:rsidRPr="00B40A8F" w:rsidRDefault="00CA361F" w:rsidP="00CA361F">
            <w:pPr>
              <w:jc w:val="center"/>
              <w:rPr>
                <w:sz w:val="20"/>
                <w:szCs w:val="32"/>
              </w:rPr>
            </w:pPr>
            <w:r w:rsidRPr="00B40A8F">
              <w:rPr>
                <w:sz w:val="20"/>
                <w:szCs w:val="32"/>
              </w:rPr>
              <w:t>0.91</w:t>
            </w:r>
          </w:p>
        </w:tc>
      </w:tr>
      <w:tr w:rsidR="00CA361F" w:rsidRPr="00785ACF" w14:paraId="6763C3A9" w14:textId="77777777" w:rsidTr="0029492A">
        <w:trPr>
          <w:jc w:val="center"/>
        </w:trPr>
        <w:tc>
          <w:tcPr>
            <w:tcW w:w="2688" w:type="dxa"/>
            <w:tcBorders>
              <w:top w:val="nil"/>
              <w:left w:val="nil"/>
              <w:bottom w:val="single" w:sz="6" w:space="0" w:color="auto"/>
              <w:right w:val="single" w:sz="6" w:space="0" w:color="auto"/>
            </w:tcBorders>
            <w:vAlign w:val="center"/>
          </w:tcPr>
          <w:p w14:paraId="2260736F"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Australian Capital Territory</w:t>
            </w:r>
          </w:p>
        </w:tc>
        <w:tc>
          <w:tcPr>
            <w:tcW w:w="640" w:type="dxa"/>
            <w:tcBorders>
              <w:top w:val="nil"/>
              <w:left w:val="single" w:sz="6" w:space="0" w:color="auto"/>
              <w:bottom w:val="single" w:sz="6" w:space="0" w:color="auto"/>
              <w:right w:val="nil"/>
            </w:tcBorders>
            <w:vAlign w:val="center"/>
          </w:tcPr>
          <w:p w14:paraId="693925DD" w14:textId="77777777" w:rsidR="00CA361F" w:rsidRPr="00A20BF4" w:rsidRDefault="00CA361F" w:rsidP="00CA361F">
            <w:pPr>
              <w:jc w:val="center"/>
              <w:rPr>
                <w:sz w:val="20"/>
                <w:szCs w:val="32"/>
              </w:rPr>
            </w:pPr>
            <w:r w:rsidRPr="00A20BF4">
              <w:rPr>
                <w:sz w:val="20"/>
                <w:szCs w:val="32"/>
              </w:rPr>
              <w:t>0.81</w:t>
            </w:r>
          </w:p>
        </w:tc>
        <w:tc>
          <w:tcPr>
            <w:tcW w:w="640" w:type="dxa"/>
            <w:tcBorders>
              <w:top w:val="nil"/>
              <w:left w:val="nil"/>
              <w:bottom w:val="single" w:sz="6" w:space="0" w:color="auto"/>
              <w:right w:val="nil"/>
            </w:tcBorders>
            <w:vAlign w:val="center"/>
          </w:tcPr>
          <w:p w14:paraId="506E867F" w14:textId="77777777" w:rsidR="00CA361F" w:rsidRPr="00A20BF4" w:rsidRDefault="00CA361F" w:rsidP="00CA361F">
            <w:pPr>
              <w:jc w:val="center"/>
              <w:rPr>
                <w:sz w:val="20"/>
                <w:szCs w:val="32"/>
              </w:rPr>
            </w:pPr>
            <w:r w:rsidRPr="00A20BF4">
              <w:rPr>
                <w:sz w:val="20"/>
                <w:szCs w:val="32"/>
              </w:rPr>
              <w:t>0.79</w:t>
            </w:r>
          </w:p>
        </w:tc>
        <w:tc>
          <w:tcPr>
            <w:tcW w:w="641" w:type="dxa"/>
            <w:tcBorders>
              <w:top w:val="nil"/>
              <w:left w:val="nil"/>
              <w:bottom w:val="single" w:sz="6" w:space="0" w:color="auto"/>
              <w:right w:val="nil"/>
            </w:tcBorders>
            <w:vAlign w:val="center"/>
          </w:tcPr>
          <w:p w14:paraId="3B2A8F9A" w14:textId="77777777" w:rsidR="00CA361F" w:rsidRPr="00A20BF4" w:rsidRDefault="00CA361F" w:rsidP="00CA361F">
            <w:pPr>
              <w:jc w:val="center"/>
              <w:rPr>
                <w:sz w:val="20"/>
                <w:szCs w:val="32"/>
              </w:rPr>
            </w:pPr>
            <w:r w:rsidRPr="00A20BF4">
              <w:rPr>
                <w:sz w:val="20"/>
                <w:szCs w:val="32"/>
              </w:rPr>
              <w:t>0.85</w:t>
            </w:r>
          </w:p>
        </w:tc>
        <w:tc>
          <w:tcPr>
            <w:tcW w:w="640" w:type="dxa"/>
            <w:tcBorders>
              <w:top w:val="nil"/>
              <w:left w:val="nil"/>
              <w:bottom w:val="single" w:sz="6" w:space="0" w:color="auto"/>
              <w:right w:val="nil"/>
            </w:tcBorders>
            <w:vAlign w:val="center"/>
          </w:tcPr>
          <w:p w14:paraId="6AD3DC23" w14:textId="77777777" w:rsidR="00CA361F" w:rsidRPr="00A20BF4" w:rsidRDefault="00CA361F" w:rsidP="00CA361F">
            <w:pPr>
              <w:jc w:val="center"/>
              <w:rPr>
                <w:sz w:val="20"/>
                <w:szCs w:val="32"/>
              </w:rPr>
            </w:pPr>
            <w:r w:rsidRPr="00A20BF4">
              <w:rPr>
                <w:sz w:val="20"/>
                <w:szCs w:val="32"/>
              </w:rPr>
              <w:t>0.85</w:t>
            </w:r>
          </w:p>
        </w:tc>
        <w:tc>
          <w:tcPr>
            <w:tcW w:w="641" w:type="dxa"/>
            <w:tcBorders>
              <w:top w:val="nil"/>
              <w:left w:val="nil"/>
              <w:bottom w:val="single" w:sz="6" w:space="0" w:color="auto"/>
              <w:right w:val="single" w:sz="6" w:space="0" w:color="auto"/>
            </w:tcBorders>
            <w:vAlign w:val="center"/>
          </w:tcPr>
          <w:p w14:paraId="5CB118B5" w14:textId="77777777" w:rsidR="00CA361F" w:rsidRPr="00A20BF4" w:rsidRDefault="00CA361F" w:rsidP="00CA361F">
            <w:pPr>
              <w:jc w:val="center"/>
              <w:rPr>
                <w:sz w:val="20"/>
                <w:szCs w:val="32"/>
              </w:rPr>
            </w:pPr>
            <w:r w:rsidRPr="00A20BF4">
              <w:rPr>
                <w:sz w:val="20"/>
                <w:szCs w:val="32"/>
              </w:rPr>
              <w:t>0.84</w:t>
            </w:r>
          </w:p>
        </w:tc>
        <w:tc>
          <w:tcPr>
            <w:tcW w:w="640" w:type="dxa"/>
            <w:tcBorders>
              <w:top w:val="nil"/>
              <w:left w:val="single" w:sz="6" w:space="0" w:color="auto"/>
              <w:bottom w:val="single" w:sz="6" w:space="0" w:color="auto"/>
              <w:right w:val="nil"/>
            </w:tcBorders>
            <w:vAlign w:val="center"/>
          </w:tcPr>
          <w:p w14:paraId="110DCA79" w14:textId="77777777" w:rsidR="00CA361F" w:rsidRPr="00B40A8F" w:rsidRDefault="00CA361F" w:rsidP="00CA361F">
            <w:pPr>
              <w:jc w:val="center"/>
              <w:rPr>
                <w:sz w:val="20"/>
                <w:szCs w:val="32"/>
              </w:rPr>
            </w:pPr>
            <w:r w:rsidRPr="00B40A8F">
              <w:rPr>
                <w:sz w:val="20"/>
                <w:szCs w:val="32"/>
              </w:rPr>
              <w:t>0.83</w:t>
            </w:r>
          </w:p>
        </w:tc>
        <w:tc>
          <w:tcPr>
            <w:tcW w:w="640" w:type="dxa"/>
            <w:tcBorders>
              <w:top w:val="nil"/>
              <w:left w:val="nil"/>
              <w:bottom w:val="single" w:sz="6" w:space="0" w:color="auto"/>
              <w:right w:val="nil"/>
            </w:tcBorders>
            <w:vAlign w:val="center"/>
          </w:tcPr>
          <w:p w14:paraId="591D3AF4" w14:textId="77777777" w:rsidR="00CA361F" w:rsidRPr="00B40A8F" w:rsidRDefault="00CA361F" w:rsidP="00CA361F">
            <w:pPr>
              <w:jc w:val="center"/>
              <w:rPr>
                <w:sz w:val="20"/>
                <w:szCs w:val="32"/>
              </w:rPr>
            </w:pPr>
            <w:r w:rsidRPr="00B40A8F">
              <w:rPr>
                <w:sz w:val="20"/>
                <w:szCs w:val="32"/>
              </w:rPr>
              <w:t>0.74</w:t>
            </w:r>
          </w:p>
        </w:tc>
        <w:tc>
          <w:tcPr>
            <w:tcW w:w="641" w:type="dxa"/>
            <w:tcBorders>
              <w:top w:val="nil"/>
              <w:left w:val="nil"/>
              <w:bottom w:val="single" w:sz="6" w:space="0" w:color="auto"/>
              <w:right w:val="nil"/>
            </w:tcBorders>
            <w:vAlign w:val="center"/>
          </w:tcPr>
          <w:p w14:paraId="516B88EB" w14:textId="77777777" w:rsidR="00CA361F" w:rsidRPr="00B40A8F" w:rsidRDefault="00CA361F" w:rsidP="00CA361F">
            <w:pPr>
              <w:jc w:val="center"/>
              <w:rPr>
                <w:sz w:val="20"/>
                <w:szCs w:val="32"/>
              </w:rPr>
            </w:pPr>
            <w:r w:rsidRPr="00B40A8F">
              <w:rPr>
                <w:sz w:val="20"/>
                <w:szCs w:val="32"/>
              </w:rPr>
              <w:t>0.87</w:t>
            </w:r>
          </w:p>
        </w:tc>
        <w:tc>
          <w:tcPr>
            <w:tcW w:w="640" w:type="dxa"/>
            <w:tcBorders>
              <w:top w:val="nil"/>
              <w:left w:val="nil"/>
              <w:bottom w:val="single" w:sz="6" w:space="0" w:color="auto"/>
              <w:right w:val="nil"/>
            </w:tcBorders>
            <w:vAlign w:val="center"/>
          </w:tcPr>
          <w:p w14:paraId="257076E4" w14:textId="77777777" w:rsidR="00CA361F" w:rsidRPr="00B40A8F" w:rsidRDefault="00CA361F" w:rsidP="00CA361F">
            <w:pPr>
              <w:jc w:val="center"/>
              <w:rPr>
                <w:sz w:val="20"/>
                <w:szCs w:val="32"/>
              </w:rPr>
            </w:pPr>
            <w:r w:rsidRPr="00B40A8F">
              <w:rPr>
                <w:sz w:val="20"/>
                <w:szCs w:val="32"/>
              </w:rPr>
              <w:t>0.86</w:t>
            </w:r>
          </w:p>
        </w:tc>
        <w:tc>
          <w:tcPr>
            <w:tcW w:w="641" w:type="dxa"/>
            <w:tcBorders>
              <w:top w:val="nil"/>
              <w:left w:val="nil"/>
              <w:bottom w:val="single" w:sz="6" w:space="0" w:color="auto"/>
            </w:tcBorders>
            <w:vAlign w:val="center"/>
          </w:tcPr>
          <w:p w14:paraId="668DC24C" w14:textId="77777777" w:rsidR="00CA361F" w:rsidRPr="00B40A8F" w:rsidRDefault="00CA361F" w:rsidP="00CA361F">
            <w:pPr>
              <w:jc w:val="center"/>
              <w:rPr>
                <w:sz w:val="20"/>
                <w:szCs w:val="32"/>
              </w:rPr>
            </w:pPr>
            <w:r w:rsidRPr="00B40A8F">
              <w:rPr>
                <w:sz w:val="20"/>
                <w:szCs w:val="32"/>
              </w:rPr>
              <w:t>0.83</w:t>
            </w:r>
          </w:p>
        </w:tc>
      </w:tr>
    </w:tbl>
    <w:p w14:paraId="4FD579CE" w14:textId="77777777" w:rsidR="00DA1034" w:rsidRDefault="00DA1034" w:rsidP="00DA1034"/>
    <w:p w14:paraId="4BAEB82A" w14:textId="77777777" w:rsidR="00DA1034" w:rsidRPr="00A20BF4" w:rsidRDefault="00CA361F" w:rsidP="00CA361F">
      <w:pPr>
        <w:pStyle w:val="TableTitle"/>
      </w:pPr>
      <w:r>
        <w:t>Table A4</w:t>
      </w:r>
      <w:r w:rsidR="00DA1034" w:rsidRPr="00A20BF4">
        <w:t xml:space="preserve">: Grade 9 </w:t>
      </w:r>
      <w:r>
        <w:t>participation rates</w:t>
      </w:r>
    </w:p>
    <w:tbl>
      <w:tblPr>
        <w:tblW w:w="9092" w:type="dxa"/>
        <w:jc w:val="center"/>
        <w:tblLayout w:type="fixed"/>
        <w:tblCellMar>
          <w:left w:w="0" w:type="dxa"/>
          <w:right w:w="0" w:type="dxa"/>
        </w:tblCellMar>
        <w:tblLook w:val="0000" w:firstRow="0" w:lastRow="0" w:firstColumn="0" w:lastColumn="0" w:noHBand="0" w:noVBand="0"/>
      </w:tblPr>
      <w:tblGrid>
        <w:gridCol w:w="2688"/>
        <w:gridCol w:w="640"/>
        <w:gridCol w:w="640"/>
        <w:gridCol w:w="641"/>
        <w:gridCol w:w="640"/>
        <w:gridCol w:w="641"/>
        <w:gridCol w:w="640"/>
        <w:gridCol w:w="640"/>
        <w:gridCol w:w="641"/>
        <w:gridCol w:w="640"/>
        <w:gridCol w:w="641"/>
      </w:tblGrid>
      <w:tr w:rsidR="00DA1034" w:rsidRPr="00785ACF" w14:paraId="15E67B99" w14:textId="77777777" w:rsidTr="0029492A">
        <w:trPr>
          <w:jc w:val="center"/>
        </w:trPr>
        <w:tc>
          <w:tcPr>
            <w:tcW w:w="2688" w:type="dxa"/>
            <w:tcBorders>
              <w:top w:val="double" w:sz="6" w:space="0" w:color="auto"/>
              <w:left w:val="nil"/>
              <w:bottom w:val="single" w:sz="6" w:space="0" w:color="auto"/>
              <w:right w:val="single" w:sz="6" w:space="0" w:color="auto"/>
            </w:tcBorders>
          </w:tcPr>
          <w:p w14:paraId="08DC056B" w14:textId="77777777" w:rsidR="00DA1034" w:rsidRPr="00785ACF" w:rsidRDefault="00DA1034" w:rsidP="0029492A">
            <w:pPr>
              <w:contextualSpacing/>
              <w:rPr>
                <w:sz w:val="20"/>
                <w:szCs w:val="20"/>
              </w:rPr>
            </w:pPr>
          </w:p>
        </w:tc>
        <w:tc>
          <w:tcPr>
            <w:tcW w:w="3202" w:type="dxa"/>
            <w:gridSpan w:val="5"/>
            <w:tcBorders>
              <w:top w:val="double" w:sz="6" w:space="0" w:color="auto"/>
              <w:left w:val="single" w:sz="6" w:space="0" w:color="auto"/>
              <w:bottom w:val="single" w:sz="6" w:space="0" w:color="auto"/>
              <w:right w:val="single" w:sz="6" w:space="0" w:color="auto"/>
            </w:tcBorders>
            <w:vAlign w:val="center"/>
          </w:tcPr>
          <w:p w14:paraId="7BC88B65" w14:textId="77777777" w:rsidR="00DA1034" w:rsidRPr="00785ACF" w:rsidRDefault="00CA361F" w:rsidP="0029492A">
            <w:pPr>
              <w:contextualSpacing/>
              <w:jc w:val="center"/>
              <w:rPr>
                <w:sz w:val="20"/>
                <w:szCs w:val="20"/>
              </w:rPr>
            </w:pPr>
            <w:r>
              <w:rPr>
                <w:sz w:val="20"/>
                <w:szCs w:val="20"/>
              </w:rPr>
              <w:t>Reading</w:t>
            </w:r>
          </w:p>
        </w:tc>
        <w:tc>
          <w:tcPr>
            <w:tcW w:w="3202" w:type="dxa"/>
            <w:gridSpan w:val="5"/>
            <w:tcBorders>
              <w:top w:val="double" w:sz="6" w:space="0" w:color="auto"/>
              <w:left w:val="single" w:sz="6" w:space="0" w:color="auto"/>
              <w:bottom w:val="single" w:sz="6" w:space="0" w:color="auto"/>
            </w:tcBorders>
            <w:vAlign w:val="center"/>
          </w:tcPr>
          <w:p w14:paraId="5798A45D" w14:textId="77777777" w:rsidR="00DA1034" w:rsidRPr="00785ACF" w:rsidRDefault="00CA361F" w:rsidP="0029492A">
            <w:pPr>
              <w:contextualSpacing/>
              <w:jc w:val="center"/>
              <w:rPr>
                <w:sz w:val="20"/>
                <w:szCs w:val="20"/>
              </w:rPr>
            </w:pPr>
            <w:r>
              <w:rPr>
                <w:sz w:val="20"/>
                <w:szCs w:val="20"/>
              </w:rPr>
              <w:t>Numeracy</w:t>
            </w:r>
          </w:p>
        </w:tc>
      </w:tr>
      <w:tr w:rsidR="00DA1034" w:rsidRPr="00785ACF" w14:paraId="0348BDBF" w14:textId="77777777" w:rsidTr="0029492A">
        <w:trPr>
          <w:jc w:val="center"/>
        </w:trPr>
        <w:tc>
          <w:tcPr>
            <w:tcW w:w="2688" w:type="dxa"/>
            <w:tcBorders>
              <w:top w:val="nil"/>
              <w:left w:val="nil"/>
              <w:bottom w:val="single" w:sz="6" w:space="0" w:color="auto"/>
              <w:right w:val="single" w:sz="6" w:space="0" w:color="auto"/>
            </w:tcBorders>
          </w:tcPr>
          <w:p w14:paraId="46206111" w14:textId="77777777" w:rsidR="00DA1034" w:rsidRPr="00785ACF" w:rsidRDefault="00DA1034" w:rsidP="0029492A">
            <w:pPr>
              <w:ind w:right="170"/>
              <w:contextualSpacing/>
              <w:jc w:val="center"/>
              <w:rPr>
                <w:i/>
                <w:iCs/>
                <w:sz w:val="20"/>
                <w:szCs w:val="20"/>
              </w:rPr>
            </w:pPr>
            <w:r w:rsidRPr="00785ACF">
              <w:rPr>
                <w:i/>
                <w:iCs/>
                <w:sz w:val="20"/>
                <w:szCs w:val="20"/>
              </w:rPr>
              <w:t>State/Territory</w:t>
            </w:r>
          </w:p>
        </w:tc>
        <w:tc>
          <w:tcPr>
            <w:tcW w:w="640" w:type="dxa"/>
            <w:tcBorders>
              <w:top w:val="nil"/>
              <w:left w:val="single" w:sz="6" w:space="0" w:color="auto"/>
              <w:bottom w:val="single" w:sz="6" w:space="0" w:color="auto"/>
              <w:right w:val="nil"/>
            </w:tcBorders>
            <w:vAlign w:val="center"/>
          </w:tcPr>
          <w:p w14:paraId="6338A3C3" w14:textId="77777777" w:rsidR="00DA1034" w:rsidRPr="00785ACF" w:rsidRDefault="00DA1034" w:rsidP="0029492A">
            <w:pPr>
              <w:jc w:val="center"/>
              <w:rPr>
                <w:sz w:val="20"/>
                <w:szCs w:val="20"/>
              </w:rPr>
            </w:pPr>
            <w:r w:rsidRPr="00785ACF">
              <w:rPr>
                <w:sz w:val="20"/>
                <w:szCs w:val="20"/>
              </w:rPr>
              <w:t>2008</w:t>
            </w:r>
          </w:p>
        </w:tc>
        <w:tc>
          <w:tcPr>
            <w:tcW w:w="640" w:type="dxa"/>
            <w:tcBorders>
              <w:top w:val="nil"/>
              <w:left w:val="nil"/>
              <w:bottom w:val="single" w:sz="6" w:space="0" w:color="auto"/>
              <w:right w:val="nil"/>
            </w:tcBorders>
            <w:vAlign w:val="center"/>
          </w:tcPr>
          <w:p w14:paraId="0EEF60D6" w14:textId="77777777" w:rsidR="00DA1034" w:rsidRPr="00785ACF" w:rsidRDefault="00DA1034" w:rsidP="0029492A">
            <w:pPr>
              <w:jc w:val="center"/>
              <w:rPr>
                <w:sz w:val="20"/>
                <w:szCs w:val="20"/>
              </w:rPr>
            </w:pPr>
            <w:r w:rsidRPr="00785ACF">
              <w:rPr>
                <w:sz w:val="20"/>
                <w:szCs w:val="20"/>
              </w:rPr>
              <w:t>2009</w:t>
            </w:r>
          </w:p>
        </w:tc>
        <w:tc>
          <w:tcPr>
            <w:tcW w:w="641" w:type="dxa"/>
            <w:tcBorders>
              <w:top w:val="nil"/>
              <w:left w:val="nil"/>
              <w:bottom w:val="single" w:sz="6" w:space="0" w:color="auto"/>
              <w:right w:val="nil"/>
            </w:tcBorders>
            <w:vAlign w:val="center"/>
          </w:tcPr>
          <w:p w14:paraId="1062A1ED" w14:textId="77777777" w:rsidR="00DA1034" w:rsidRPr="00785ACF" w:rsidRDefault="00DA1034" w:rsidP="0029492A">
            <w:pPr>
              <w:jc w:val="center"/>
              <w:rPr>
                <w:sz w:val="20"/>
                <w:szCs w:val="20"/>
              </w:rPr>
            </w:pPr>
            <w:r w:rsidRPr="00785ACF">
              <w:rPr>
                <w:sz w:val="20"/>
                <w:szCs w:val="20"/>
              </w:rPr>
              <w:t>2010</w:t>
            </w:r>
          </w:p>
        </w:tc>
        <w:tc>
          <w:tcPr>
            <w:tcW w:w="640" w:type="dxa"/>
            <w:tcBorders>
              <w:top w:val="nil"/>
              <w:left w:val="nil"/>
              <w:bottom w:val="single" w:sz="6" w:space="0" w:color="auto"/>
              <w:right w:val="nil"/>
            </w:tcBorders>
            <w:vAlign w:val="center"/>
          </w:tcPr>
          <w:p w14:paraId="32EAACB5" w14:textId="77777777" w:rsidR="00DA1034" w:rsidRPr="00785ACF" w:rsidRDefault="00DA1034" w:rsidP="0029492A">
            <w:pPr>
              <w:jc w:val="center"/>
              <w:rPr>
                <w:sz w:val="20"/>
                <w:szCs w:val="20"/>
              </w:rPr>
            </w:pPr>
            <w:r w:rsidRPr="00785ACF">
              <w:rPr>
                <w:sz w:val="20"/>
                <w:szCs w:val="20"/>
              </w:rPr>
              <w:t>2011</w:t>
            </w:r>
          </w:p>
        </w:tc>
        <w:tc>
          <w:tcPr>
            <w:tcW w:w="641" w:type="dxa"/>
            <w:tcBorders>
              <w:top w:val="nil"/>
              <w:left w:val="nil"/>
              <w:bottom w:val="single" w:sz="6" w:space="0" w:color="auto"/>
              <w:right w:val="single" w:sz="6" w:space="0" w:color="auto"/>
            </w:tcBorders>
            <w:vAlign w:val="center"/>
          </w:tcPr>
          <w:p w14:paraId="6FF06AA7" w14:textId="77777777" w:rsidR="00DA1034" w:rsidRPr="00785ACF" w:rsidRDefault="00DA1034" w:rsidP="0029492A">
            <w:pPr>
              <w:jc w:val="center"/>
              <w:rPr>
                <w:sz w:val="20"/>
                <w:szCs w:val="20"/>
              </w:rPr>
            </w:pPr>
            <w:r w:rsidRPr="00785ACF">
              <w:rPr>
                <w:sz w:val="20"/>
                <w:szCs w:val="20"/>
              </w:rPr>
              <w:t>2012</w:t>
            </w:r>
          </w:p>
        </w:tc>
        <w:tc>
          <w:tcPr>
            <w:tcW w:w="640" w:type="dxa"/>
            <w:tcBorders>
              <w:top w:val="nil"/>
              <w:left w:val="single" w:sz="6" w:space="0" w:color="auto"/>
              <w:bottom w:val="single" w:sz="6" w:space="0" w:color="auto"/>
              <w:right w:val="nil"/>
            </w:tcBorders>
            <w:vAlign w:val="center"/>
          </w:tcPr>
          <w:p w14:paraId="75386CC5" w14:textId="77777777" w:rsidR="00DA1034" w:rsidRPr="00785ACF" w:rsidRDefault="00DA1034" w:rsidP="0029492A">
            <w:pPr>
              <w:contextualSpacing/>
              <w:jc w:val="center"/>
              <w:rPr>
                <w:sz w:val="20"/>
                <w:szCs w:val="20"/>
              </w:rPr>
            </w:pPr>
            <w:r w:rsidRPr="00785ACF">
              <w:rPr>
                <w:sz w:val="20"/>
                <w:szCs w:val="20"/>
              </w:rPr>
              <w:t>2008</w:t>
            </w:r>
          </w:p>
        </w:tc>
        <w:tc>
          <w:tcPr>
            <w:tcW w:w="640" w:type="dxa"/>
            <w:tcBorders>
              <w:top w:val="nil"/>
              <w:left w:val="nil"/>
              <w:bottom w:val="single" w:sz="6" w:space="0" w:color="auto"/>
              <w:right w:val="nil"/>
            </w:tcBorders>
            <w:vAlign w:val="center"/>
          </w:tcPr>
          <w:p w14:paraId="10B1B52F" w14:textId="77777777" w:rsidR="00DA1034" w:rsidRPr="00785ACF" w:rsidRDefault="00DA1034" w:rsidP="0029492A">
            <w:pPr>
              <w:contextualSpacing/>
              <w:jc w:val="center"/>
              <w:rPr>
                <w:sz w:val="20"/>
                <w:szCs w:val="20"/>
              </w:rPr>
            </w:pPr>
            <w:r w:rsidRPr="00785ACF">
              <w:rPr>
                <w:sz w:val="20"/>
                <w:szCs w:val="20"/>
              </w:rPr>
              <w:t>2009</w:t>
            </w:r>
          </w:p>
        </w:tc>
        <w:tc>
          <w:tcPr>
            <w:tcW w:w="641" w:type="dxa"/>
            <w:tcBorders>
              <w:top w:val="nil"/>
              <w:left w:val="nil"/>
              <w:bottom w:val="single" w:sz="6" w:space="0" w:color="auto"/>
              <w:right w:val="nil"/>
            </w:tcBorders>
            <w:vAlign w:val="center"/>
          </w:tcPr>
          <w:p w14:paraId="0C808A0B" w14:textId="77777777" w:rsidR="00DA1034" w:rsidRPr="00785ACF" w:rsidRDefault="00DA1034" w:rsidP="0029492A">
            <w:pPr>
              <w:contextualSpacing/>
              <w:jc w:val="center"/>
              <w:rPr>
                <w:sz w:val="20"/>
                <w:szCs w:val="20"/>
              </w:rPr>
            </w:pPr>
            <w:r w:rsidRPr="00785ACF">
              <w:rPr>
                <w:sz w:val="20"/>
                <w:szCs w:val="20"/>
              </w:rPr>
              <w:t>2010</w:t>
            </w:r>
          </w:p>
        </w:tc>
        <w:tc>
          <w:tcPr>
            <w:tcW w:w="640" w:type="dxa"/>
            <w:tcBorders>
              <w:top w:val="nil"/>
              <w:left w:val="nil"/>
              <w:bottom w:val="single" w:sz="6" w:space="0" w:color="auto"/>
              <w:right w:val="nil"/>
            </w:tcBorders>
            <w:vAlign w:val="center"/>
          </w:tcPr>
          <w:p w14:paraId="3A3C83CA" w14:textId="77777777" w:rsidR="00DA1034" w:rsidRPr="00785ACF" w:rsidRDefault="00DA1034" w:rsidP="0029492A">
            <w:pPr>
              <w:contextualSpacing/>
              <w:jc w:val="center"/>
              <w:rPr>
                <w:sz w:val="20"/>
                <w:szCs w:val="20"/>
              </w:rPr>
            </w:pPr>
            <w:r w:rsidRPr="00785ACF">
              <w:rPr>
                <w:sz w:val="20"/>
                <w:szCs w:val="20"/>
              </w:rPr>
              <w:t>2011</w:t>
            </w:r>
          </w:p>
        </w:tc>
        <w:tc>
          <w:tcPr>
            <w:tcW w:w="641" w:type="dxa"/>
            <w:tcBorders>
              <w:top w:val="nil"/>
              <w:left w:val="nil"/>
              <w:bottom w:val="single" w:sz="6" w:space="0" w:color="auto"/>
            </w:tcBorders>
            <w:vAlign w:val="center"/>
          </w:tcPr>
          <w:p w14:paraId="3E98B446" w14:textId="77777777" w:rsidR="00DA1034" w:rsidRPr="00785ACF" w:rsidRDefault="00DA1034" w:rsidP="0029492A">
            <w:pPr>
              <w:contextualSpacing/>
              <w:jc w:val="center"/>
              <w:rPr>
                <w:sz w:val="20"/>
                <w:szCs w:val="20"/>
              </w:rPr>
            </w:pPr>
            <w:r w:rsidRPr="00785ACF">
              <w:rPr>
                <w:sz w:val="20"/>
                <w:szCs w:val="20"/>
              </w:rPr>
              <w:t>2012</w:t>
            </w:r>
          </w:p>
        </w:tc>
      </w:tr>
      <w:tr w:rsidR="00CA361F" w:rsidRPr="00785ACF" w14:paraId="7E9BF404" w14:textId="77777777" w:rsidTr="0029492A">
        <w:trPr>
          <w:jc w:val="center"/>
        </w:trPr>
        <w:tc>
          <w:tcPr>
            <w:tcW w:w="2688" w:type="dxa"/>
            <w:tcBorders>
              <w:top w:val="nil"/>
              <w:left w:val="nil"/>
              <w:bottom w:val="nil"/>
              <w:right w:val="single" w:sz="6" w:space="0" w:color="auto"/>
            </w:tcBorders>
            <w:vAlign w:val="center"/>
          </w:tcPr>
          <w:p w14:paraId="18A3F379"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Northern Territory</w:t>
            </w:r>
          </w:p>
        </w:tc>
        <w:tc>
          <w:tcPr>
            <w:tcW w:w="640" w:type="dxa"/>
            <w:tcBorders>
              <w:top w:val="nil"/>
              <w:left w:val="single" w:sz="6" w:space="0" w:color="auto"/>
              <w:bottom w:val="nil"/>
              <w:right w:val="nil"/>
            </w:tcBorders>
            <w:vAlign w:val="center"/>
          </w:tcPr>
          <w:p w14:paraId="64C02D71" w14:textId="77777777" w:rsidR="00CA361F" w:rsidRPr="00A20BF4" w:rsidRDefault="00CA361F" w:rsidP="00CA361F">
            <w:pPr>
              <w:jc w:val="center"/>
              <w:rPr>
                <w:sz w:val="20"/>
                <w:szCs w:val="32"/>
              </w:rPr>
            </w:pPr>
            <w:r w:rsidRPr="00A20BF4">
              <w:rPr>
                <w:sz w:val="20"/>
                <w:szCs w:val="32"/>
              </w:rPr>
              <w:t>0.62</w:t>
            </w:r>
          </w:p>
        </w:tc>
        <w:tc>
          <w:tcPr>
            <w:tcW w:w="640" w:type="dxa"/>
            <w:tcBorders>
              <w:top w:val="nil"/>
              <w:left w:val="nil"/>
              <w:bottom w:val="nil"/>
              <w:right w:val="nil"/>
            </w:tcBorders>
            <w:vAlign w:val="center"/>
          </w:tcPr>
          <w:p w14:paraId="3B9C39A5" w14:textId="77777777" w:rsidR="00CA361F" w:rsidRPr="00A20BF4" w:rsidRDefault="00CA361F" w:rsidP="00CA361F">
            <w:pPr>
              <w:jc w:val="center"/>
              <w:rPr>
                <w:sz w:val="20"/>
                <w:szCs w:val="32"/>
              </w:rPr>
            </w:pPr>
            <w:r w:rsidRPr="00A20BF4">
              <w:rPr>
                <w:sz w:val="20"/>
                <w:szCs w:val="32"/>
              </w:rPr>
              <w:t>0.75</w:t>
            </w:r>
          </w:p>
        </w:tc>
        <w:tc>
          <w:tcPr>
            <w:tcW w:w="641" w:type="dxa"/>
            <w:tcBorders>
              <w:top w:val="nil"/>
              <w:left w:val="nil"/>
              <w:bottom w:val="nil"/>
              <w:right w:val="nil"/>
            </w:tcBorders>
            <w:vAlign w:val="center"/>
          </w:tcPr>
          <w:p w14:paraId="735C3080" w14:textId="77777777" w:rsidR="00CA361F" w:rsidRPr="00A20BF4" w:rsidRDefault="00CA361F" w:rsidP="00CA361F">
            <w:pPr>
              <w:jc w:val="center"/>
              <w:rPr>
                <w:sz w:val="20"/>
                <w:szCs w:val="32"/>
              </w:rPr>
            </w:pPr>
            <w:r w:rsidRPr="00A20BF4">
              <w:rPr>
                <w:sz w:val="20"/>
                <w:szCs w:val="32"/>
              </w:rPr>
              <w:t>0.66</w:t>
            </w:r>
          </w:p>
        </w:tc>
        <w:tc>
          <w:tcPr>
            <w:tcW w:w="640" w:type="dxa"/>
            <w:tcBorders>
              <w:top w:val="nil"/>
              <w:left w:val="nil"/>
              <w:bottom w:val="nil"/>
              <w:right w:val="nil"/>
            </w:tcBorders>
            <w:vAlign w:val="center"/>
          </w:tcPr>
          <w:p w14:paraId="32BD9C3B" w14:textId="77777777" w:rsidR="00CA361F" w:rsidRPr="00A20BF4" w:rsidRDefault="00CA361F" w:rsidP="00CA361F">
            <w:pPr>
              <w:jc w:val="center"/>
              <w:rPr>
                <w:sz w:val="20"/>
                <w:szCs w:val="32"/>
              </w:rPr>
            </w:pPr>
            <w:r w:rsidRPr="00A20BF4">
              <w:rPr>
                <w:sz w:val="20"/>
                <w:szCs w:val="32"/>
              </w:rPr>
              <w:t>0.69</w:t>
            </w:r>
          </w:p>
        </w:tc>
        <w:tc>
          <w:tcPr>
            <w:tcW w:w="641" w:type="dxa"/>
            <w:tcBorders>
              <w:top w:val="nil"/>
              <w:left w:val="nil"/>
              <w:bottom w:val="nil"/>
              <w:right w:val="single" w:sz="6" w:space="0" w:color="auto"/>
            </w:tcBorders>
            <w:vAlign w:val="center"/>
          </w:tcPr>
          <w:p w14:paraId="2F1F557B" w14:textId="77777777" w:rsidR="00CA361F" w:rsidRPr="00A20BF4" w:rsidRDefault="00CA361F" w:rsidP="00CA361F">
            <w:pPr>
              <w:jc w:val="center"/>
              <w:rPr>
                <w:sz w:val="20"/>
                <w:szCs w:val="32"/>
              </w:rPr>
            </w:pPr>
            <w:r w:rsidRPr="00A20BF4">
              <w:rPr>
                <w:sz w:val="20"/>
                <w:szCs w:val="32"/>
              </w:rPr>
              <w:t>0.66</w:t>
            </w:r>
          </w:p>
        </w:tc>
        <w:tc>
          <w:tcPr>
            <w:tcW w:w="640" w:type="dxa"/>
            <w:tcBorders>
              <w:top w:val="nil"/>
              <w:left w:val="single" w:sz="6" w:space="0" w:color="auto"/>
              <w:bottom w:val="nil"/>
              <w:right w:val="nil"/>
            </w:tcBorders>
            <w:vAlign w:val="center"/>
          </w:tcPr>
          <w:p w14:paraId="601F258D" w14:textId="77777777" w:rsidR="00CA361F" w:rsidRPr="00A20BF4" w:rsidRDefault="00CA361F" w:rsidP="00CA361F">
            <w:pPr>
              <w:jc w:val="center"/>
              <w:rPr>
                <w:sz w:val="20"/>
                <w:szCs w:val="32"/>
              </w:rPr>
            </w:pPr>
            <w:r w:rsidRPr="00A20BF4">
              <w:rPr>
                <w:sz w:val="20"/>
                <w:szCs w:val="32"/>
              </w:rPr>
              <w:t>0.61</w:t>
            </w:r>
          </w:p>
        </w:tc>
        <w:tc>
          <w:tcPr>
            <w:tcW w:w="640" w:type="dxa"/>
            <w:tcBorders>
              <w:top w:val="nil"/>
              <w:left w:val="nil"/>
              <w:bottom w:val="nil"/>
              <w:right w:val="nil"/>
            </w:tcBorders>
            <w:vAlign w:val="center"/>
          </w:tcPr>
          <w:p w14:paraId="25F07235" w14:textId="77777777" w:rsidR="00CA361F" w:rsidRPr="00A20BF4" w:rsidRDefault="00CA361F" w:rsidP="00CA361F">
            <w:pPr>
              <w:jc w:val="center"/>
              <w:rPr>
                <w:sz w:val="20"/>
                <w:szCs w:val="32"/>
              </w:rPr>
            </w:pPr>
            <w:r w:rsidRPr="00A20BF4">
              <w:rPr>
                <w:sz w:val="20"/>
                <w:szCs w:val="32"/>
              </w:rPr>
              <w:t>0.75</w:t>
            </w:r>
          </w:p>
        </w:tc>
        <w:tc>
          <w:tcPr>
            <w:tcW w:w="641" w:type="dxa"/>
            <w:tcBorders>
              <w:top w:val="nil"/>
              <w:left w:val="nil"/>
              <w:bottom w:val="nil"/>
              <w:right w:val="nil"/>
            </w:tcBorders>
            <w:vAlign w:val="center"/>
          </w:tcPr>
          <w:p w14:paraId="145A28E2" w14:textId="77777777" w:rsidR="00CA361F" w:rsidRPr="00A20BF4" w:rsidRDefault="00CA361F" w:rsidP="00CA361F">
            <w:pPr>
              <w:jc w:val="center"/>
              <w:rPr>
                <w:sz w:val="20"/>
                <w:szCs w:val="32"/>
              </w:rPr>
            </w:pPr>
            <w:r w:rsidRPr="00A20BF4">
              <w:rPr>
                <w:sz w:val="20"/>
                <w:szCs w:val="32"/>
              </w:rPr>
              <w:t>0.64</w:t>
            </w:r>
          </w:p>
        </w:tc>
        <w:tc>
          <w:tcPr>
            <w:tcW w:w="640" w:type="dxa"/>
            <w:tcBorders>
              <w:top w:val="nil"/>
              <w:left w:val="nil"/>
              <w:bottom w:val="nil"/>
              <w:right w:val="nil"/>
            </w:tcBorders>
            <w:vAlign w:val="center"/>
          </w:tcPr>
          <w:p w14:paraId="61DF2078" w14:textId="77777777" w:rsidR="00CA361F" w:rsidRPr="00A20BF4" w:rsidRDefault="00CA361F" w:rsidP="00CA361F">
            <w:pPr>
              <w:jc w:val="center"/>
              <w:rPr>
                <w:sz w:val="20"/>
                <w:szCs w:val="32"/>
              </w:rPr>
            </w:pPr>
            <w:r w:rsidRPr="00A20BF4">
              <w:rPr>
                <w:sz w:val="20"/>
                <w:szCs w:val="32"/>
              </w:rPr>
              <w:t>0.68</w:t>
            </w:r>
          </w:p>
        </w:tc>
        <w:tc>
          <w:tcPr>
            <w:tcW w:w="641" w:type="dxa"/>
            <w:tcBorders>
              <w:top w:val="nil"/>
              <w:left w:val="nil"/>
              <w:bottom w:val="nil"/>
            </w:tcBorders>
            <w:vAlign w:val="center"/>
          </w:tcPr>
          <w:p w14:paraId="47ED888A" w14:textId="77777777" w:rsidR="00CA361F" w:rsidRPr="00A20BF4" w:rsidRDefault="00CA361F" w:rsidP="00CA361F">
            <w:pPr>
              <w:jc w:val="center"/>
              <w:rPr>
                <w:sz w:val="20"/>
                <w:szCs w:val="32"/>
              </w:rPr>
            </w:pPr>
            <w:r w:rsidRPr="00A20BF4">
              <w:rPr>
                <w:sz w:val="20"/>
                <w:szCs w:val="32"/>
              </w:rPr>
              <w:t>0.65</w:t>
            </w:r>
          </w:p>
        </w:tc>
      </w:tr>
      <w:tr w:rsidR="00CA361F" w:rsidRPr="00785ACF" w14:paraId="3C2533F5" w14:textId="77777777" w:rsidTr="0029492A">
        <w:trPr>
          <w:jc w:val="center"/>
        </w:trPr>
        <w:tc>
          <w:tcPr>
            <w:tcW w:w="2688" w:type="dxa"/>
            <w:tcBorders>
              <w:top w:val="nil"/>
              <w:left w:val="nil"/>
              <w:bottom w:val="nil"/>
              <w:right w:val="single" w:sz="6" w:space="0" w:color="auto"/>
            </w:tcBorders>
            <w:vAlign w:val="center"/>
          </w:tcPr>
          <w:p w14:paraId="3FED2E25"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Western Australia</w:t>
            </w:r>
          </w:p>
        </w:tc>
        <w:tc>
          <w:tcPr>
            <w:tcW w:w="640" w:type="dxa"/>
            <w:tcBorders>
              <w:top w:val="nil"/>
              <w:left w:val="single" w:sz="6" w:space="0" w:color="auto"/>
              <w:bottom w:val="nil"/>
              <w:right w:val="nil"/>
            </w:tcBorders>
            <w:vAlign w:val="center"/>
          </w:tcPr>
          <w:p w14:paraId="0910227A" w14:textId="77777777" w:rsidR="00CA361F" w:rsidRPr="00A20BF4" w:rsidRDefault="00CA361F" w:rsidP="00CA361F">
            <w:pPr>
              <w:jc w:val="center"/>
              <w:rPr>
                <w:sz w:val="20"/>
                <w:szCs w:val="32"/>
              </w:rPr>
            </w:pPr>
            <w:r w:rsidRPr="00A20BF4">
              <w:rPr>
                <w:sz w:val="20"/>
                <w:szCs w:val="32"/>
              </w:rPr>
              <w:t>0.71</w:t>
            </w:r>
          </w:p>
        </w:tc>
        <w:tc>
          <w:tcPr>
            <w:tcW w:w="640" w:type="dxa"/>
            <w:tcBorders>
              <w:top w:val="nil"/>
              <w:left w:val="nil"/>
              <w:bottom w:val="nil"/>
              <w:right w:val="nil"/>
            </w:tcBorders>
            <w:vAlign w:val="center"/>
          </w:tcPr>
          <w:p w14:paraId="4B075E6A" w14:textId="77777777" w:rsidR="00CA361F" w:rsidRPr="00A20BF4" w:rsidRDefault="00CA361F" w:rsidP="00CA361F">
            <w:pPr>
              <w:jc w:val="center"/>
              <w:rPr>
                <w:sz w:val="20"/>
                <w:szCs w:val="32"/>
              </w:rPr>
            </w:pPr>
            <w:r w:rsidRPr="00A20BF4">
              <w:rPr>
                <w:sz w:val="20"/>
                <w:szCs w:val="32"/>
              </w:rPr>
              <w:t>0.72</w:t>
            </w:r>
          </w:p>
        </w:tc>
        <w:tc>
          <w:tcPr>
            <w:tcW w:w="641" w:type="dxa"/>
            <w:tcBorders>
              <w:top w:val="nil"/>
              <w:left w:val="nil"/>
              <w:bottom w:val="nil"/>
              <w:right w:val="nil"/>
            </w:tcBorders>
            <w:vAlign w:val="center"/>
          </w:tcPr>
          <w:p w14:paraId="74BDD5E8" w14:textId="77777777" w:rsidR="00CA361F" w:rsidRPr="00A20BF4" w:rsidRDefault="00CA361F" w:rsidP="00CA361F">
            <w:pPr>
              <w:jc w:val="center"/>
              <w:rPr>
                <w:sz w:val="20"/>
                <w:szCs w:val="32"/>
              </w:rPr>
            </w:pPr>
            <w:r w:rsidRPr="00A20BF4">
              <w:rPr>
                <w:sz w:val="20"/>
                <w:szCs w:val="32"/>
              </w:rPr>
              <w:t>0.74</w:t>
            </w:r>
          </w:p>
        </w:tc>
        <w:tc>
          <w:tcPr>
            <w:tcW w:w="640" w:type="dxa"/>
            <w:tcBorders>
              <w:top w:val="nil"/>
              <w:left w:val="nil"/>
              <w:bottom w:val="nil"/>
              <w:right w:val="nil"/>
            </w:tcBorders>
            <w:vAlign w:val="center"/>
          </w:tcPr>
          <w:p w14:paraId="31C41779" w14:textId="77777777" w:rsidR="00CA361F" w:rsidRPr="00A20BF4" w:rsidRDefault="00CA361F" w:rsidP="00CA361F">
            <w:pPr>
              <w:jc w:val="center"/>
              <w:rPr>
                <w:sz w:val="20"/>
                <w:szCs w:val="32"/>
              </w:rPr>
            </w:pPr>
            <w:r w:rsidRPr="00A20BF4">
              <w:rPr>
                <w:sz w:val="20"/>
                <w:szCs w:val="32"/>
              </w:rPr>
              <w:t>0.70</w:t>
            </w:r>
          </w:p>
        </w:tc>
        <w:tc>
          <w:tcPr>
            <w:tcW w:w="641" w:type="dxa"/>
            <w:tcBorders>
              <w:top w:val="nil"/>
              <w:left w:val="nil"/>
              <w:bottom w:val="nil"/>
              <w:right w:val="single" w:sz="6" w:space="0" w:color="auto"/>
            </w:tcBorders>
            <w:vAlign w:val="center"/>
          </w:tcPr>
          <w:p w14:paraId="4AC54FE7" w14:textId="77777777" w:rsidR="00CA361F" w:rsidRPr="00A20BF4" w:rsidRDefault="00CA361F" w:rsidP="00CA361F">
            <w:pPr>
              <w:jc w:val="center"/>
              <w:rPr>
                <w:sz w:val="20"/>
                <w:szCs w:val="32"/>
              </w:rPr>
            </w:pPr>
            <w:r w:rsidRPr="00A20BF4">
              <w:rPr>
                <w:sz w:val="20"/>
                <w:szCs w:val="32"/>
              </w:rPr>
              <w:t>0.71</w:t>
            </w:r>
          </w:p>
        </w:tc>
        <w:tc>
          <w:tcPr>
            <w:tcW w:w="640" w:type="dxa"/>
            <w:tcBorders>
              <w:top w:val="nil"/>
              <w:left w:val="single" w:sz="6" w:space="0" w:color="auto"/>
              <w:bottom w:val="nil"/>
              <w:right w:val="nil"/>
            </w:tcBorders>
            <w:vAlign w:val="center"/>
          </w:tcPr>
          <w:p w14:paraId="0E972DAF" w14:textId="77777777" w:rsidR="00CA361F" w:rsidRPr="00A20BF4" w:rsidRDefault="00CA361F" w:rsidP="00CA361F">
            <w:pPr>
              <w:jc w:val="center"/>
              <w:rPr>
                <w:sz w:val="20"/>
                <w:szCs w:val="32"/>
              </w:rPr>
            </w:pPr>
            <w:r w:rsidRPr="00A20BF4">
              <w:rPr>
                <w:sz w:val="20"/>
                <w:szCs w:val="32"/>
              </w:rPr>
              <w:t>0.72</w:t>
            </w:r>
          </w:p>
        </w:tc>
        <w:tc>
          <w:tcPr>
            <w:tcW w:w="640" w:type="dxa"/>
            <w:tcBorders>
              <w:top w:val="nil"/>
              <w:left w:val="nil"/>
              <w:bottom w:val="nil"/>
              <w:right w:val="nil"/>
            </w:tcBorders>
            <w:vAlign w:val="center"/>
          </w:tcPr>
          <w:p w14:paraId="58C0411A" w14:textId="77777777" w:rsidR="00CA361F" w:rsidRPr="00A20BF4" w:rsidRDefault="00CA361F" w:rsidP="00CA361F">
            <w:pPr>
              <w:jc w:val="center"/>
              <w:rPr>
                <w:sz w:val="20"/>
                <w:szCs w:val="32"/>
              </w:rPr>
            </w:pPr>
            <w:r w:rsidRPr="00A20BF4">
              <w:rPr>
                <w:sz w:val="20"/>
                <w:szCs w:val="32"/>
              </w:rPr>
              <w:t>0.71</w:t>
            </w:r>
          </w:p>
        </w:tc>
        <w:tc>
          <w:tcPr>
            <w:tcW w:w="641" w:type="dxa"/>
            <w:tcBorders>
              <w:top w:val="nil"/>
              <w:left w:val="nil"/>
              <w:bottom w:val="nil"/>
              <w:right w:val="nil"/>
            </w:tcBorders>
            <w:vAlign w:val="center"/>
          </w:tcPr>
          <w:p w14:paraId="628E7AEE" w14:textId="77777777" w:rsidR="00CA361F" w:rsidRPr="00A20BF4" w:rsidRDefault="00CA361F" w:rsidP="00CA361F">
            <w:pPr>
              <w:jc w:val="center"/>
              <w:rPr>
                <w:sz w:val="20"/>
                <w:szCs w:val="32"/>
              </w:rPr>
            </w:pPr>
            <w:r w:rsidRPr="00A20BF4">
              <w:rPr>
                <w:sz w:val="20"/>
                <w:szCs w:val="32"/>
              </w:rPr>
              <w:t>0.74</w:t>
            </w:r>
          </w:p>
        </w:tc>
        <w:tc>
          <w:tcPr>
            <w:tcW w:w="640" w:type="dxa"/>
            <w:tcBorders>
              <w:top w:val="nil"/>
              <w:left w:val="nil"/>
              <w:bottom w:val="nil"/>
              <w:right w:val="nil"/>
            </w:tcBorders>
            <w:vAlign w:val="center"/>
          </w:tcPr>
          <w:p w14:paraId="0F0ED94D" w14:textId="77777777" w:rsidR="00CA361F" w:rsidRPr="00A20BF4" w:rsidRDefault="00CA361F" w:rsidP="00CA361F">
            <w:pPr>
              <w:jc w:val="center"/>
              <w:rPr>
                <w:sz w:val="20"/>
                <w:szCs w:val="32"/>
              </w:rPr>
            </w:pPr>
            <w:r w:rsidRPr="00A20BF4">
              <w:rPr>
                <w:sz w:val="20"/>
                <w:szCs w:val="32"/>
              </w:rPr>
              <w:t>0.69</w:t>
            </w:r>
          </w:p>
        </w:tc>
        <w:tc>
          <w:tcPr>
            <w:tcW w:w="641" w:type="dxa"/>
            <w:tcBorders>
              <w:top w:val="nil"/>
              <w:left w:val="nil"/>
              <w:bottom w:val="nil"/>
            </w:tcBorders>
            <w:vAlign w:val="center"/>
          </w:tcPr>
          <w:p w14:paraId="47B31479" w14:textId="77777777" w:rsidR="00CA361F" w:rsidRPr="00A20BF4" w:rsidRDefault="00CA361F" w:rsidP="00CA361F">
            <w:pPr>
              <w:jc w:val="center"/>
              <w:rPr>
                <w:sz w:val="20"/>
                <w:szCs w:val="32"/>
              </w:rPr>
            </w:pPr>
            <w:r w:rsidRPr="00A20BF4">
              <w:rPr>
                <w:sz w:val="20"/>
                <w:szCs w:val="32"/>
              </w:rPr>
              <w:t>0.70</w:t>
            </w:r>
          </w:p>
        </w:tc>
      </w:tr>
      <w:tr w:rsidR="00CA361F" w:rsidRPr="00785ACF" w14:paraId="1C072553" w14:textId="77777777" w:rsidTr="0029492A">
        <w:trPr>
          <w:jc w:val="center"/>
        </w:trPr>
        <w:tc>
          <w:tcPr>
            <w:tcW w:w="2688" w:type="dxa"/>
            <w:tcBorders>
              <w:top w:val="nil"/>
              <w:left w:val="nil"/>
              <w:bottom w:val="nil"/>
              <w:right w:val="single" w:sz="6" w:space="0" w:color="auto"/>
            </w:tcBorders>
            <w:vAlign w:val="center"/>
          </w:tcPr>
          <w:p w14:paraId="7A471B36"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Queensland</w:t>
            </w:r>
          </w:p>
        </w:tc>
        <w:tc>
          <w:tcPr>
            <w:tcW w:w="640" w:type="dxa"/>
            <w:tcBorders>
              <w:top w:val="nil"/>
              <w:left w:val="single" w:sz="6" w:space="0" w:color="auto"/>
              <w:bottom w:val="nil"/>
              <w:right w:val="nil"/>
            </w:tcBorders>
            <w:vAlign w:val="center"/>
          </w:tcPr>
          <w:p w14:paraId="14EBE553" w14:textId="77777777" w:rsidR="00CA361F" w:rsidRPr="00A20BF4" w:rsidRDefault="00CA361F" w:rsidP="00CA361F">
            <w:pPr>
              <w:jc w:val="center"/>
              <w:rPr>
                <w:sz w:val="20"/>
                <w:szCs w:val="32"/>
              </w:rPr>
            </w:pPr>
            <w:r w:rsidRPr="00A20BF4">
              <w:rPr>
                <w:sz w:val="20"/>
                <w:szCs w:val="32"/>
              </w:rPr>
              <w:t>0.87</w:t>
            </w:r>
          </w:p>
        </w:tc>
        <w:tc>
          <w:tcPr>
            <w:tcW w:w="640" w:type="dxa"/>
            <w:tcBorders>
              <w:top w:val="nil"/>
              <w:left w:val="nil"/>
              <w:bottom w:val="nil"/>
              <w:right w:val="nil"/>
            </w:tcBorders>
            <w:vAlign w:val="center"/>
          </w:tcPr>
          <w:p w14:paraId="38C95AA0" w14:textId="77777777" w:rsidR="00CA361F" w:rsidRPr="00A20BF4" w:rsidRDefault="00CA361F" w:rsidP="00CA361F">
            <w:pPr>
              <w:jc w:val="center"/>
              <w:rPr>
                <w:sz w:val="20"/>
                <w:szCs w:val="32"/>
              </w:rPr>
            </w:pPr>
            <w:r w:rsidRPr="00A20BF4">
              <w:rPr>
                <w:sz w:val="20"/>
                <w:szCs w:val="32"/>
              </w:rPr>
              <w:t>0.86</w:t>
            </w:r>
          </w:p>
        </w:tc>
        <w:tc>
          <w:tcPr>
            <w:tcW w:w="641" w:type="dxa"/>
            <w:tcBorders>
              <w:top w:val="nil"/>
              <w:left w:val="nil"/>
              <w:bottom w:val="nil"/>
              <w:right w:val="nil"/>
            </w:tcBorders>
            <w:vAlign w:val="center"/>
          </w:tcPr>
          <w:p w14:paraId="1FA66BD1" w14:textId="77777777" w:rsidR="00CA361F" w:rsidRPr="00A20BF4" w:rsidRDefault="00CA361F" w:rsidP="00CA361F">
            <w:pPr>
              <w:jc w:val="center"/>
              <w:rPr>
                <w:sz w:val="20"/>
                <w:szCs w:val="32"/>
              </w:rPr>
            </w:pPr>
            <w:r w:rsidRPr="00A20BF4">
              <w:rPr>
                <w:sz w:val="20"/>
                <w:szCs w:val="32"/>
              </w:rPr>
              <w:t>0.86</w:t>
            </w:r>
          </w:p>
        </w:tc>
        <w:tc>
          <w:tcPr>
            <w:tcW w:w="640" w:type="dxa"/>
            <w:tcBorders>
              <w:top w:val="nil"/>
              <w:left w:val="nil"/>
              <w:bottom w:val="nil"/>
              <w:right w:val="nil"/>
            </w:tcBorders>
            <w:vAlign w:val="center"/>
          </w:tcPr>
          <w:p w14:paraId="4E82F389" w14:textId="77777777" w:rsidR="00CA361F" w:rsidRPr="00A20BF4" w:rsidRDefault="00CA361F" w:rsidP="00CA361F">
            <w:pPr>
              <w:jc w:val="center"/>
              <w:rPr>
                <w:sz w:val="20"/>
                <w:szCs w:val="32"/>
              </w:rPr>
            </w:pPr>
            <w:r w:rsidRPr="00A20BF4">
              <w:rPr>
                <w:sz w:val="20"/>
                <w:szCs w:val="32"/>
              </w:rPr>
              <w:t>0.84</w:t>
            </w:r>
          </w:p>
        </w:tc>
        <w:tc>
          <w:tcPr>
            <w:tcW w:w="641" w:type="dxa"/>
            <w:tcBorders>
              <w:top w:val="nil"/>
              <w:left w:val="nil"/>
              <w:bottom w:val="nil"/>
              <w:right w:val="single" w:sz="6" w:space="0" w:color="auto"/>
            </w:tcBorders>
            <w:vAlign w:val="center"/>
          </w:tcPr>
          <w:p w14:paraId="10C5BAF8" w14:textId="77777777" w:rsidR="00CA361F" w:rsidRPr="00A20BF4" w:rsidRDefault="00CA361F" w:rsidP="00CA361F">
            <w:pPr>
              <w:jc w:val="center"/>
              <w:rPr>
                <w:sz w:val="20"/>
                <w:szCs w:val="32"/>
              </w:rPr>
            </w:pPr>
            <w:r w:rsidRPr="00A20BF4">
              <w:rPr>
                <w:sz w:val="20"/>
                <w:szCs w:val="32"/>
              </w:rPr>
              <w:t>0.81</w:t>
            </w:r>
          </w:p>
        </w:tc>
        <w:tc>
          <w:tcPr>
            <w:tcW w:w="640" w:type="dxa"/>
            <w:tcBorders>
              <w:top w:val="nil"/>
              <w:left w:val="single" w:sz="6" w:space="0" w:color="auto"/>
              <w:bottom w:val="nil"/>
              <w:right w:val="nil"/>
            </w:tcBorders>
            <w:vAlign w:val="center"/>
          </w:tcPr>
          <w:p w14:paraId="0CA27AAA" w14:textId="77777777" w:rsidR="00CA361F" w:rsidRPr="00A20BF4" w:rsidRDefault="00CA361F" w:rsidP="00CA361F">
            <w:pPr>
              <w:jc w:val="center"/>
              <w:rPr>
                <w:sz w:val="20"/>
                <w:szCs w:val="32"/>
              </w:rPr>
            </w:pPr>
            <w:r w:rsidRPr="00A20BF4">
              <w:rPr>
                <w:sz w:val="20"/>
                <w:szCs w:val="32"/>
              </w:rPr>
              <w:t>0.86</w:t>
            </w:r>
          </w:p>
        </w:tc>
        <w:tc>
          <w:tcPr>
            <w:tcW w:w="640" w:type="dxa"/>
            <w:tcBorders>
              <w:top w:val="nil"/>
              <w:left w:val="nil"/>
              <w:bottom w:val="nil"/>
              <w:right w:val="nil"/>
            </w:tcBorders>
            <w:vAlign w:val="center"/>
          </w:tcPr>
          <w:p w14:paraId="50487292" w14:textId="77777777" w:rsidR="00CA361F" w:rsidRPr="00A20BF4" w:rsidRDefault="00CA361F" w:rsidP="00CA361F">
            <w:pPr>
              <w:jc w:val="center"/>
              <w:rPr>
                <w:sz w:val="20"/>
                <w:szCs w:val="32"/>
              </w:rPr>
            </w:pPr>
            <w:r w:rsidRPr="00A20BF4">
              <w:rPr>
                <w:sz w:val="20"/>
                <w:szCs w:val="32"/>
              </w:rPr>
              <w:t>0.85</w:t>
            </w:r>
          </w:p>
        </w:tc>
        <w:tc>
          <w:tcPr>
            <w:tcW w:w="641" w:type="dxa"/>
            <w:tcBorders>
              <w:top w:val="nil"/>
              <w:left w:val="nil"/>
              <w:bottom w:val="nil"/>
              <w:right w:val="nil"/>
            </w:tcBorders>
            <w:vAlign w:val="center"/>
          </w:tcPr>
          <w:p w14:paraId="06602854" w14:textId="77777777" w:rsidR="00CA361F" w:rsidRPr="00A20BF4" w:rsidRDefault="00CA361F" w:rsidP="00CA361F">
            <w:pPr>
              <w:jc w:val="center"/>
              <w:rPr>
                <w:sz w:val="20"/>
                <w:szCs w:val="32"/>
              </w:rPr>
            </w:pPr>
            <w:r w:rsidRPr="00A20BF4">
              <w:rPr>
                <w:sz w:val="20"/>
                <w:szCs w:val="32"/>
              </w:rPr>
              <w:t>0.86</w:t>
            </w:r>
          </w:p>
        </w:tc>
        <w:tc>
          <w:tcPr>
            <w:tcW w:w="640" w:type="dxa"/>
            <w:tcBorders>
              <w:top w:val="nil"/>
              <w:left w:val="nil"/>
              <w:bottom w:val="nil"/>
              <w:right w:val="nil"/>
            </w:tcBorders>
            <w:vAlign w:val="center"/>
          </w:tcPr>
          <w:p w14:paraId="31F7D776" w14:textId="77777777" w:rsidR="00CA361F" w:rsidRPr="00A20BF4" w:rsidRDefault="00CA361F" w:rsidP="00CA361F">
            <w:pPr>
              <w:jc w:val="center"/>
              <w:rPr>
                <w:sz w:val="20"/>
                <w:szCs w:val="32"/>
              </w:rPr>
            </w:pPr>
            <w:r w:rsidRPr="00A20BF4">
              <w:rPr>
                <w:sz w:val="20"/>
                <w:szCs w:val="32"/>
              </w:rPr>
              <w:t>0.83</w:t>
            </w:r>
          </w:p>
        </w:tc>
        <w:tc>
          <w:tcPr>
            <w:tcW w:w="641" w:type="dxa"/>
            <w:tcBorders>
              <w:top w:val="nil"/>
              <w:left w:val="nil"/>
              <w:bottom w:val="nil"/>
            </w:tcBorders>
            <w:vAlign w:val="center"/>
          </w:tcPr>
          <w:p w14:paraId="0C11A582" w14:textId="77777777" w:rsidR="00CA361F" w:rsidRPr="00A20BF4" w:rsidRDefault="00CA361F" w:rsidP="00CA361F">
            <w:pPr>
              <w:jc w:val="center"/>
              <w:rPr>
                <w:sz w:val="20"/>
                <w:szCs w:val="32"/>
              </w:rPr>
            </w:pPr>
            <w:r w:rsidRPr="00A20BF4">
              <w:rPr>
                <w:sz w:val="20"/>
                <w:szCs w:val="32"/>
              </w:rPr>
              <w:t>0.81</w:t>
            </w:r>
          </w:p>
        </w:tc>
      </w:tr>
      <w:tr w:rsidR="00CA361F" w:rsidRPr="00785ACF" w14:paraId="6C039FEB" w14:textId="77777777" w:rsidTr="0029492A">
        <w:trPr>
          <w:jc w:val="center"/>
        </w:trPr>
        <w:tc>
          <w:tcPr>
            <w:tcW w:w="2688" w:type="dxa"/>
            <w:tcBorders>
              <w:top w:val="nil"/>
              <w:left w:val="nil"/>
              <w:bottom w:val="nil"/>
              <w:right w:val="single" w:sz="6" w:space="0" w:color="auto"/>
            </w:tcBorders>
            <w:vAlign w:val="center"/>
          </w:tcPr>
          <w:p w14:paraId="592FA45D"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New South Wales</w:t>
            </w:r>
          </w:p>
        </w:tc>
        <w:tc>
          <w:tcPr>
            <w:tcW w:w="640" w:type="dxa"/>
            <w:tcBorders>
              <w:top w:val="nil"/>
              <w:left w:val="single" w:sz="6" w:space="0" w:color="auto"/>
              <w:bottom w:val="nil"/>
              <w:right w:val="nil"/>
            </w:tcBorders>
            <w:vAlign w:val="center"/>
          </w:tcPr>
          <w:p w14:paraId="13C15B01" w14:textId="77777777" w:rsidR="00CA361F" w:rsidRPr="00A20BF4" w:rsidRDefault="00CA361F" w:rsidP="00CA361F">
            <w:pPr>
              <w:jc w:val="center"/>
              <w:rPr>
                <w:sz w:val="20"/>
                <w:szCs w:val="32"/>
              </w:rPr>
            </w:pPr>
            <w:r w:rsidRPr="00A20BF4">
              <w:rPr>
                <w:sz w:val="20"/>
                <w:szCs w:val="32"/>
              </w:rPr>
              <w:t>0.80</w:t>
            </w:r>
          </w:p>
        </w:tc>
        <w:tc>
          <w:tcPr>
            <w:tcW w:w="640" w:type="dxa"/>
            <w:tcBorders>
              <w:top w:val="nil"/>
              <w:left w:val="nil"/>
              <w:bottom w:val="nil"/>
              <w:right w:val="nil"/>
            </w:tcBorders>
            <w:vAlign w:val="center"/>
          </w:tcPr>
          <w:p w14:paraId="7BCCF952" w14:textId="77777777" w:rsidR="00CA361F" w:rsidRPr="00A20BF4" w:rsidRDefault="00CA361F" w:rsidP="00CA361F">
            <w:pPr>
              <w:jc w:val="center"/>
              <w:rPr>
                <w:sz w:val="20"/>
                <w:szCs w:val="32"/>
              </w:rPr>
            </w:pPr>
            <w:r w:rsidRPr="00A20BF4">
              <w:rPr>
                <w:sz w:val="20"/>
                <w:szCs w:val="32"/>
              </w:rPr>
              <w:t>0.84</w:t>
            </w:r>
          </w:p>
        </w:tc>
        <w:tc>
          <w:tcPr>
            <w:tcW w:w="641" w:type="dxa"/>
            <w:tcBorders>
              <w:top w:val="nil"/>
              <w:left w:val="nil"/>
              <w:bottom w:val="nil"/>
              <w:right w:val="nil"/>
            </w:tcBorders>
            <w:vAlign w:val="center"/>
          </w:tcPr>
          <w:p w14:paraId="0185B554" w14:textId="77777777" w:rsidR="00CA361F" w:rsidRPr="00A20BF4" w:rsidRDefault="00CA361F" w:rsidP="00CA361F">
            <w:pPr>
              <w:jc w:val="center"/>
              <w:rPr>
                <w:sz w:val="20"/>
                <w:szCs w:val="32"/>
              </w:rPr>
            </w:pPr>
            <w:r w:rsidRPr="00A20BF4">
              <w:rPr>
                <w:sz w:val="20"/>
                <w:szCs w:val="32"/>
              </w:rPr>
              <w:t>0.82</w:t>
            </w:r>
          </w:p>
        </w:tc>
        <w:tc>
          <w:tcPr>
            <w:tcW w:w="640" w:type="dxa"/>
            <w:tcBorders>
              <w:top w:val="nil"/>
              <w:left w:val="nil"/>
              <w:bottom w:val="nil"/>
              <w:right w:val="nil"/>
            </w:tcBorders>
            <w:vAlign w:val="center"/>
          </w:tcPr>
          <w:p w14:paraId="018A18C8" w14:textId="77777777" w:rsidR="00CA361F" w:rsidRPr="00A20BF4" w:rsidRDefault="00CA361F" w:rsidP="00CA361F">
            <w:pPr>
              <w:jc w:val="center"/>
              <w:rPr>
                <w:sz w:val="20"/>
                <w:szCs w:val="32"/>
              </w:rPr>
            </w:pPr>
            <w:r w:rsidRPr="00A20BF4">
              <w:rPr>
                <w:sz w:val="20"/>
                <w:szCs w:val="32"/>
              </w:rPr>
              <w:t>0.81</w:t>
            </w:r>
          </w:p>
        </w:tc>
        <w:tc>
          <w:tcPr>
            <w:tcW w:w="641" w:type="dxa"/>
            <w:tcBorders>
              <w:top w:val="nil"/>
              <w:left w:val="nil"/>
              <w:bottom w:val="nil"/>
              <w:right w:val="single" w:sz="6" w:space="0" w:color="auto"/>
            </w:tcBorders>
            <w:vAlign w:val="center"/>
          </w:tcPr>
          <w:p w14:paraId="29E56C27" w14:textId="77777777" w:rsidR="00CA361F" w:rsidRPr="00A20BF4" w:rsidRDefault="00CA361F" w:rsidP="00CA361F">
            <w:pPr>
              <w:jc w:val="center"/>
              <w:rPr>
                <w:sz w:val="20"/>
                <w:szCs w:val="32"/>
              </w:rPr>
            </w:pPr>
            <w:r w:rsidRPr="00A20BF4">
              <w:rPr>
                <w:sz w:val="20"/>
                <w:szCs w:val="32"/>
              </w:rPr>
              <w:t>0.79</w:t>
            </w:r>
          </w:p>
        </w:tc>
        <w:tc>
          <w:tcPr>
            <w:tcW w:w="640" w:type="dxa"/>
            <w:tcBorders>
              <w:top w:val="nil"/>
              <w:left w:val="single" w:sz="6" w:space="0" w:color="auto"/>
              <w:bottom w:val="nil"/>
              <w:right w:val="nil"/>
            </w:tcBorders>
            <w:vAlign w:val="center"/>
          </w:tcPr>
          <w:p w14:paraId="6172DBAF" w14:textId="77777777" w:rsidR="00CA361F" w:rsidRPr="00A20BF4" w:rsidRDefault="00CA361F" w:rsidP="00CA361F">
            <w:pPr>
              <w:jc w:val="center"/>
              <w:rPr>
                <w:sz w:val="20"/>
                <w:szCs w:val="32"/>
              </w:rPr>
            </w:pPr>
            <w:r w:rsidRPr="00A20BF4">
              <w:rPr>
                <w:sz w:val="20"/>
                <w:szCs w:val="32"/>
              </w:rPr>
              <w:t>0.79</w:t>
            </w:r>
          </w:p>
        </w:tc>
        <w:tc>
          <w:tcPr>
            <w:tcW w:w="640" w:type="dxa"/>
            <w:tcBorders>
              <w:top w:val="nil"/>
              <w:left w:val="nil"/>
              <w:bottom w:val="nil"/>
              <w:right w:val="nil"/>
            </w:tcBorders>
            <w:vAlign w:val="center"/>
          </w:tcPr>
          <w:p w14:paraId="0E62AD05" w14:textId="77777777" w:rsidR="00CA361F" w:rsidRPr="00A20BF4" w:rsidRDefault="00CA361F" w:rsidP="00CA361F">
            <w:pPr>
              <w:jc w:val="center"/>
              <w:rPr>
                <w:sz w:val="20"/>
                <w:szCs w:val="32"/>
              </w:rPr>
            </w:pPr>
            <w:r w:rsidRPr="00A20BF4">
              <w:rPr>
                <w:sz w:val="20"/>
                <w:szCs w:val="32"/>
              </w:rPr>
              <w:t>0.82</w:t>
            </w:r>
          </w:p>
        </w:tc>
        <w:tc>
          <w:tcPr>
            <w:tcW w:w="641" w:type="dxa"/>
            <w:tcBorders>
              <w:top w:val="nil"/>
              <w:left w:val="nil"/>
              <w:bottom w:val="nil"/>
              <w:right w:val="nil"/>
            </w:tcBorders>
            <w:vAlign w:val="center"/>
          </w:tcPr>
          <w:p w14:paraId="7A944BEA" w14:textId="77777777" w:rsidR="00CA361F" w:rsidRPr="00A20BF4" w:rsidRDefault="00CA361F" w:rsidP="00CA361F">
            <w:pPr>
              <w:jc w:val="center"/>
              <w:rPr>
                <w:sz w:val="20"/>
                <w:szCs w:val="32"/>
              </w:rPr>
            </w:pPr>
            <w:r w:rsidRPr="00A20BF4">
              <w:rPr>
                <w:sz w:val="20"/>
                <w:szCs w:val="32"/>
              </w:rPr>
              <w:t>0.81</w:t>
            </w:r>
          </w:p>
        </w:tc>
        <w:tc>
          <w:tcPr>
            <w:tcW w:w="640" w:type="dxa"/>
            <w:tcBorders>
              <w:top w:val="nil"/>
              <w:left w:val="nil"/>
              <w:bottom w:val="nil"/>
              <w:right w:val="nil"/>
            </w:tcBorders>
            <w:vAlign w:val="center"/>
          </w:tcPr>
          <w:p w14:paraId="26314B91" w14:textId="77777777" w:rsidR="00CA361F" w:rsidRPr="00A20BF4" w:rsidRDefault="00CA361F" w:rsidP="00CA361F">
            <w:pPr>
              <w:jc w:val="center"/>
              <w:rPr>
                <w:sz w:val="20"/>
                <w:szCs w:val="32"/>
              </w:rPr>
            </w:pPr>
            <w:r w:rsidRPr="00A20BF4">
              <w:rPr>
                <w:sz w:val="20"/>
                <w:szCs w:val="32"/>
              </w:rPr>
              <w:t>0.80</w:t>
            </w:r>
          </w:p>
        </w:tc>
        <w:tc>
          <w:tcPr>
            <w:tcW w:w="641" w:type="dxa"/>
            <w:tcBorders>
              <w:top w:val="nil"/>
              <w:left w:val="nil"/>
              <w:bottom w:val="nil"/>
            </w:tcBorders>
            <w:vAlign w:val="center"/>
          </w:tcPr>
          <w:p w14:paraId="4C2CC162" w14:textId="77777777" w:rsidR="00CA361F" w:rsidRPr="00A20BF4" w:rsidRDefault="00CA361F" w:rsidP="00CA361F">
            <w:pPr>
              <w:jc w:val="center"/>
              <w:rPr>
                <w:sz w:val="20"/>
                <w:szCs w:val="32"/>
              </w:rPr>
            </w:pPr>
            <w:r w:rsidRPr="00A20BF4">
              <w:rPr>
                <w:sz w:val="20"/>
                <w:szCs w:val="32"/>
              </w:rPr>
              <w:t>0.77</w:t>
            </w:r>
          </w:p>
        </w:tc>
      </w:tr>
      <w:tr w:rsidR="00CA361F" w:rsidRPr="00785ACF" w14:paraId="0E19E246" w14:textId="77777777" w:rsidTr="0029492A">
        <w:trPr>
          <w:jc w:val="center"/>
        </w:trPr>
        <w:tc>
          <w:tcPr>
            <w:tcW w:w="2688" w:type="dxa"/>
            <w:tcBorders>
              <w:top w:val="nil"/>
              <w:left w:val="nil"/>
              <w:bottom w:val="nil"/>
              <w:right w:val="single" w:sz="6" w:space="0" w:color="auto"/>
            </w:tcBorders>
            <w:vAlign w:val="center"/>
          </w:tcPr>
          <w:p w14:paraId="621AF9F9"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Victoria</w:t>
            </w:r>
          </w:p>
        </w:tc>
        <w:tc>
          <w:tcPr>
            <w:tcW w:w="640" w:type="dxa"/>
            <w:tcBorders>
              <w:top w:val="nil"/>
              <w:left w:val="single" w:sz="6" w:space="0" w:color="auto"/>
              <w:bottom w:val="nil"/>
              <w:right w:val="nil"/>
            </w:tcBorders>
            <w:vAlign w:val="center"/>
          </w:tcPr>
          <w:p w14:paraId="3FF4AC2F" w14:textId="77777777" w:rsidR="00CA361F" w:rsidRPr="00A20BF4" w:rsidRDefault="00CA361F" w:rsidP="00CA361F">
            <w:pPr>
              <w:jc w:val="center"/>
              <w:rPr>
                <w:sz w:val="20"/>
                <w:szCs w:val="32"/>
              </w:rPr>
            </w:pPr>
            <w:r w:rsidRPr="00A20BF4">
              <w:rPr>
                <w:sz w:val="20"/>
                <w:szCs w:val="32"/>
              </w:rPr>
              <w:t>0.78</w:t>
            </w:r>
          </w:p>
        </w:tc>
        <w:tc>
          <w:tcPr>
            <w:tcW w:w="640" w:type="dxa"/>
            <w:tcBorders>
              <w:top w:val="nil"/>
              <w:left w:val="nil"/>
              <w:bottom w:val="nil"/>
              <w:right w:val="nil"/>
            </w:tcBorders>
            <w:vAlign w:val="center"/>
          </w:tcPr>
          <w:p w14:paraId="287E620A" w14:textId="77777777" w:rsidR="00CA361F" w:rsidRPr="00A20BF4" w:rsidRDefault="00CA361F" w:rsidP="00CA361F">
            <w:pPr>
              <w:jc w:val="center"/>
              <w:rPr>
                <w:sz w:val="20"/>
                <w:szCs w:val="32"/>
              </w:rPr>
            </w:pPr>
            <w:r w:rsidRPr="00A20BF4">
              <w:rPr>
                <w:sz w:val="20"/>
                <w:szCs w:val="32"/>
              </w:rPr>
              <w:t>0.75</w:t>
            </w:r>
          </w:p>
        </w:tc>
        <w:tc>
          <w:tcPr>
            <w:tcW w:w="641" w:type="dxa"/>
            <w:tcBorders>
              <w:top w:val="nil"/>
              <w:left w:val="nil"/>
              <w:bottom w:val="nil"/>
              <w:right w:val="nil"/>
            </w:tcBorders>
            <w:vAlign w:val="center"/>
          </w:tcPr>
          <w:p w14:paraId="1383E0BE" w14:textId="77777777" w:rsidR="00CA361F" w:rsidRPr="00A20BF4" w:rsidRDefault="00CA361F" w:rsidP="00CA361F">
            <w:pPr>
              <w:jc w:val="center"/>
              <w:rPr>
                <w:sz w:val="20"/>
                <w:szCs w:val="32"/>
              </w:rPr>
            </w:pPr>
            <w:r w:rsidRPr="00A20BF4">
              <w:rPr>
                <w:sz w:val="20"/>
                <w:szCs w:val="32"/>
              </w:rPr>
              <w:t>0.71</w:t>
            </w:r>
          </w:p>
        </w:tc>
        <w:tc>
          <w:tcPr>
            <w:tcW w:w="640" w:type="dxa"/>
            <w:tcBorders>
              <w:top w:val="nil"/>
              <w:left w:val="nil"/>
              <w:bottom w:val="nil"/>
              <w:right w:val="nil"/>
            </w:tcBorders>
            <w:vAlign w:val="center"/>
          </w:tcPr>
          <w:p w14:paraId="45519AF6" w14:textId="77777777" w:rsidR="00CA361F" w:rsidRPr="00A20BF4" w:rsidRDefault="00CA361F" w:rsidP="00CA361F">
            <w:pPr>
              <w:jc w:val="center"/>
              <w:rPr>
                <w:sz w:val="20"/>
                <w:szCs w:val="32"/>
              </w:rPr>
            </w:pPr>
            <w:r w:rsidRPr="00A20BF4">
              <w:rPr>
                <w:sz w:val="20"/>
                <w:szCs w:val="32"/>
              </w:rPr>
              <w:t>0.71</w:t>
            </w:r>
          </w:p>
        </w:tc>
        <w:tc>
          <w:tcPr>
            <w:tcW w:w="641" w:type="dxa"/>
            <w:tcBorders>
              <w:top w:val="nil"/>
              <w:left w:val="nil"/>
              <w:bottom w:val="nil"/>
              <w:right w:val="single" w:sz="6" w:space="0" w:color="auto"/>
            </w:tcBorders>
            <w:vAlign w:val="center"/>
          </w:tcPr>
          <w:p w14:paraId="66B2A336" w14:textId="77777777" w:rsidR="00CA361F" w:rsidRPr="00A20BF4" w:rsidRDefault="00CA361F" w:rsidP="00CA361F">
            <w:pPr>
              <w:jc w:val="center"/>
              <w:rPr>
                <w:sz w:val="20"/>
                <w:szCs w:val="32"/>
              </w:rPr>
            </w:pPr>
            <w:r w:rsidRPr="00A20BF4">
              <w:rPr>
                <w:sz w:val="20"/>
                <w:szCs w:val="32"/>
              </w:rPr>
              <w:t>0.77</w:t>
            </w:r>
          </w:p>
        </w:tc>
        <w:tc>
          <w:tcPr>
            <w:tcW w:w="640" w:type="dxa"/>
            <w:tcBorders>
              <w:top w:val="nil"/>
              <w:left w:val="single" w:sz="6" w:space="0" w:color="auto"/>
              <w:bottom w:val="nil"/>
              <w:right w:val="nil"/>
            </w:tcBorders>
            <w:vAlign w:val="center"/>
          </w:tcPr>
          <w:p w14:paraId="6E2C3245" w14:textId="77777777" w:rsidR="00CA361F" w:rsidRPr="00A20BF4" w:rsidRDefault="00CA361F" w:rsidP="00CA361F">
            <w:pPr>
              <w:jc w:val="center"/>
              <w:rPr>
                <w:sz w:val="20"/>
                <w:szCs w:val="32"/>
              </w:rPr>
            </w:pPr>
            <w:r w:rsidRPr="00A20BF4">
              <w:rPr>
                <w:sz w:val="20"/>
                <w:szCs w:val="32"/>
              </w:rPr>
              <w:t>0.79</w:t>
            </w:r>
          </w:p>
        </w:tc>
        <w:tc>
          <w:tcPr>
            <w:tcW w:w="640" w:type="dxa"/>
            <w:tcBorders>
              <w:top w:val="nil"/>
              <w:left w:val="nil"/>
              <w:bottom w:val="nil"/>
              <w:right w:val="nil"/>
            </w:tcBorders>
            <w:vAlign w:val="center"/>
          </w:tcPr>
          <w:p w14:paraId="3091713C" w14:textId="77777777" w:rsidR="00CA361F" w:rsidRPr="00A20BF4" w:rsidRDefault="00CA361F" w:rsidP="00CA361F">
            <w:pPr>
              <w:jc w:val="center"/>
              <w:rPr>
                <w:sz w:val="20"/>
                <w:szCs w:val="32"/>
              </w:rPr>
            </w:pPr>
            <w:r w:rsidRPr="00A20BF4">
              <w:rPr>
                <w:sz w:val="20"/>
                <w:szCs w:val="32"/>
              </w:rPr>
              <w:t>0.77</w:t>
            </w:r>
          </w:p>
        </w:tc>
        <w:tc>
          <w:tcPr>
            <w:tcW w:w="641" w:type="dxa"/>
            <w:tcBorders>
              <w:top w:val="nil"/>
              <w:left w:val="nil"/>
              <w:bottom w:val="nil"/>
              <w:right w:val="nil"/>
            </w:tcBorders>
            <w:vAlign w:val="center"/>
          </w:tcPr>
          <w:p w14:paraId="56B1E17D" w14:textId="77777777" w:rsidR="00CA361F" w:rsidRPr="00A20BF4" w:rsidRDefault="00CA361F" w:rsidP="00CA361F">
            <w:pPr>
              <w:jc w:val="center"/>
              <w:rPr>
                <w:sz w:val="20"/>
                <w:szCs w:val="32"/>
              </w:rPr>
            </w:pPr>
            <w:r w:rsidRPr="00A20BF4">
              <w:rPr>
                <w:sz w:val="20"/>
                <w:szCs w:val="32"/>
              </w:rPr>
              <w:t>0.73</w:t>
            </w:r>
          </w:p>
        </w:tc>
        <w:tc>
          <w:tcPr>
            <w:tcW w:w="640" w:type="dxa"/>
            <w:tcBorders>
              <w:top w:val="nil"/>
              <w:left w:val="nil"/>
              <w:bottom w:val="nil"/>
              <w:right w:val="nil"/>
            </w:tcBorders>
            <w:vAlign w:val="center"/>
          </w:tcPr>
          <w:p w14:paraId="01245853" w14:textId="77777777" w:rsidR="00CA361F" w:rsidRPr="00A20BF4" w:rsidRDefault="00CA361F" w:rsidP="00CA361F">
            <w:pPr>
              <w:jc w:val="center"/>
              <w:rPr>
                <w:sz w:val="20"/>
                <w:szCs w:val="32"/>
              </w:rPr>
            </w:pPr>
            <w:r w:rsidRPr="00A20BF4">
              <w:rPr>
                <w:sz w:val="20"/>
                <w:szCs w:val="32"/>
              </w:rPr>
              <w:t>0.69</w:t>
            </w:r>
          </w:p>
        </w:tc>
        <w:tc>
          <w:tcPr>
            <w:tcW w:w="641" w:type="dxa"/>
            <w:tcBorders>
              <w:top w:val="nil"/>
              <w:left w:val="nil"/>
              <w:bottom w:val="nil"/>
            </w:tcBorders>
            <w:vAlign w:val="center"/>
          </w:tcPr>
          <w:p w14:paraId="6A5D0872" w14:textId="77777777" w:rsidR="00CA361F" w:rsidRPr="00A20BF4" w:rsidRDefault="00CA361F" w:rsidP="00CA361F">
            <w:pPr>
              <w:jc w:val="center"/>
              <w:rPr>
                <w:sz w:val="20"/>
                <w:szCs w:val="32"/>
              </w:rPr>
            </w:pPr>
            <w:r w:rsidRPr="00A20BF4">
              <w:rPr>
                <w:sz w:val="20"/>
                <w:szCs w:val="32"/>
              </w:rPr>
              <w:t>0.75</w:t>
            </w:r>
          </w:p>
        </w:tc>
      </w:tr>
      <w:tr w:rsidR="00CA361F" w:rsidRPr="00785ACF" w14:paraId="2AFAFFC3" w14:textId="77777777" w:rsidTr="0029492A">
        <w:trPr>
          <w:jc w:val="center"/>
        </w:trPr>
        <w:tc>
          <w:tcPr>
            <w:tcW w:w="2688" w:type="dxa"/>
            <w:tcBorders>
              <w:top w:val="nil"/>
              <w:left w:val="nil"/>
              <w:bottom w:val="nil"/>
              <w:right w:val="single" w:sz="6" w:space="0" w:color="auto"/>
            </w:tcBorders>
            <w:vAlign w:val="center"/>
          </w:tcPr>
          <w:p w14:paraId="120A42BE"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South Australia</w:t>
            </w:r>
          </w:p>
        </w:tc>
        <w:tc>
          <w:tcPr>
            <w:tcW w:w="640" w:type="dxa"/>
            <w:tcBorders>
              <w:top w:val="nil"/>
              <w:left w:val="single" w:sz="6" w:space="0" w:color="auto"/>
              <w:bottom w:val="nil"/>
              <w:right w:val="nil"/>
            </w:tcBorders>
            <w:vAlign w:val="center"/>
          </w:tcPr>
          <w:p w14:paraId="2EAF260D" w14:textId="77777777" w:rsidR="00CA361F" w:rsidRPr="00A20BF4" w:rsidRDefault="00CA361F" w:rsidP="00CA361F">
            <w:pPr>
              <w:jc w:val="center"/>
              <w:rPr>
                <w:sz w:val="20"/>
                <w:szCs w:val="32"/>
              </w:rPr>
            </w:pPr>
            <w:r w:rsidRPr="00A20BF4">
              <w:rPr>
                <w:sz w:val="20"/>
                <w:szCs w:val="32"/>
              </w:rPr>
              <w:t>0.90</w:t>
            </w:r>
          </w:p>
        </w:tc>
        <w:tc>
          <w:tcPr>
            <w:tcW w:w="640" w:type="dxa"/>
            <w:tcBorders>
              <w:top w:val="nil"/>
              <w:left w:val="nil"/>
              <w:bottom w:val="nil"/>
              <w:right w:val="nil"/>
            </w:tcBorders>
            <w:vAlign w:val="center"/>
          </w:tcPr>
          <w:p w14:paraId="10538EF3" w14:textId="77777777" w:rsidR="00CA361F" w:rsidRPr="00A20BF4" w:rsidRDefault="00CA361F" w:rsidP="00CA361F">
            <w:pPr>
              <w:jc w:val="center"/>
              <w:rPr>
                <w:sz w:val="20"/>
                <w:szCs w:val="32"/>
              </w:rPr>
            </w:pPr>
            <w:r w:rsidRPr="00A20BF4">
              <w:rPr>
                <w:sz w:val="20"/>
                <w:szCs w:val="32"/>
              </w:rPr>
              <w:t>0.71</w:t>
            </w:r>
          </w:p>
        </w:tc>
        <w:tc>
          <w:tcPr>
            <w:tcW w:w="641" w:type="dxa"/>
            <w:tcBorders>
              <w:top w:val="nil"/>
              <w:left w:val="nil"/>
              <w:bottom w:val="nil"/>
              <w:right w:val="nil"/>
            </w:tcBorders>
            <w:vAlign w:val="center"/>
          </w:tcPr>
          <w:p w14:paraId="709FCC07" w14:textId="77777777" w:rsidR="00CA361F" w:rsidRPr="00A20BF4" w:rsidRDefault="00CA361F" w:rsidP="00CA361F">
            <w:pPr>
              <w:jc w:val="center"/>
              <w:rPr>
                <w:sz w:val="20"/>
                <w:szCs w:val="32"/>
              </w:rPr>
            </w:pPr>
            <w:r w:rsidRPr="00A20BF4">
              <w:rPr>
                <w:sz w:val="20"/>
                <w:szCs w:val="32"/>
              </w:rPr>
              <w:t>0.68</w:t>
            </w:r>
          </w:p>
        </w:tc>
        <w:tc>
          <w:tcPr>
            <w:tcW w:w="640" w:type="dxa"/>
            <w:tcBorders>
              <w:top w:val="nil"/>
              <w:left w:val="nil"/>
              <w:bottom w:val="nil"/>
              <w:right w:val="nil"/>
            </w:tcBorders>
            <w:vAlign w:val="center"/>
          </w:tcPr>
          <w:p w14:paraId="3D631AE2" w14:textId="77777777" w:rsidR="00CA361F" w:rsidRPr="00A20BF4" w:rsidRDefault="00CA361F" w:rsidP="00CA361F">
            <w:pPr>
              <w:jc w:val="center"/>
              <w:rPr>
                <w:sz w:val="20"/>
                <w:szCs w:val="32"/>
              </w:rPr>
            </w:pPr>
            <w:r w:rsidRPr="00A20BF4">
              <w:rPr>
                <w:sz w:val="20"/>
                <w:szCs w:val="32"/>
              </w:rPr>
              <w:t>0.71</w:t>
            </w:r>
          </w:p>
        </w:tc>
        <w:tc>
          <w:tcPr>
            <w:tcW w:w="641" w:type="dxa"/>
            <w:tcBorders>
              <w:top w:val="nil"/>
              <w:left w:val="nil"/>
              <w:bottom w:val="nil"/>
              <w:right w:val="single" w:sz="6" w:space="0" w:color="auto"/>
            </w:tcBorders>
            <w:vAlign w:val="center"/>
          </w:tcPr>
          <w:p w14:paraId="1E0B3123" w14:textId="77777777" w:rsidR="00CA361F" w:rsidRPr="00A20BF4" w:rsidRDefault="00CA361F" w:rsidP="00CA361F">
            <w:pPr>
              <w:jc w:val="center"/>
              <w:rPr>
                <w:sz w:val="20"/>
                <w:szCs w:val="32"/>
              </w:rPr>
            </w:pPr>
            <w:r w:rsidRPr="00A20BF4">
              <w:rPr>
                <w:sz w:val="20"/>
                <w:szCs w:val="32"/>
              </w:rPr>
              <w:t>0.69</w:t>
            </w:r>
          </w:p>
        </w:tc>
        <w:tc>
          <w:tcPr>
            <w:tcW w:w="640" w:type="dxa"/>
            <w:tcBorders>
              <w:top w:val="nil"/>
              <w:left w:val="single" w:sz="6" w:space="0" w:color="auto"/>
              <w:bottom w:val="nil"/>
              <w:right w:val="nil"/>
            </w:tcBorders>
            <w:vAlign w:val="center"/>
          </w:tcPr>
          <w:p w14:paraId="2E68C7CF" w14:textId="77777777" w:rsidR="00CA361F" w:rsidRPr="00A20BF4" w:rsidRDefault="00CA361F" w:rsidP="00CA361F">
            <w:pPr>
              <w:jc w:val="center"/>
              <w:rPr>
                <w:sz w:val="20"/>
                <w:szCs w:val="32"/>
              </w:rPr>
            </w:pPr>
            <w:r w:rsidRPr="00A20BF4">
              <w:rPr>
                <w:sz w:val="20"/>
                <w:szCs w:val="32"/>
              </w:rPr>
              <w:t>0.89</w:t>
            </w:r>
          </w:p>
        </w:tc>
        <w:tc>
          <w:tcPr>
            <w:tcW w:w="640" w:type="dxa"/>
            <w:tcBorders>
              <w:top w:val="nil"/>
              <w:left w:val="nil"/>
              <w:bottom w:val="nil"/>
              <w:right w:val="nil"/>
            </w:tcBorders>
            <w:vAlign w:val="center"/>
          </w:tcPr>
          <w:p w14:paraId="04C61D9B" w14:textId="77777777" w:rsidR="00CA361F" w:rsidRPr="00A20BF4" w:rsidRDefault="00CA361F" w:rsidP="00CA361F">
            <w:pPr>
              <w:jc w:val="center"/>
              <w:rPr>
                <w:sz w:val="20"/>
                <w:szCs w:val="32"/>
              </w:rPr>
            </w:pPr>
            <w:r w:rsidRPr="00A20BF4">
              <w:rPr>
                <w:sz w:val="20"/>
                <w:szCs w:val="32"/>
              </w:rPr>
              <w:t>0.70</w:t>
            </w:r>
          </w:p>
        </w:tc>
        <w:tc>
          <w:tcPr>
            <w:tcW w:w="641" w:type="dxa"/>
            <w:tcBorders>
              <w:top w:val="nil"/>
              <w:left w:val="nil"/>
              <w:bottom w:val="nil"/>
              <w:right w:val="nil"/>
            </w:tcBorders>
            <w:vAlign w:val="center"/>
          </w:tcPr>
          <w:p w14:paraId="3F6A68C6" w14:textId="77777777" w:rsidR="00CA361F" w:rsidRPr="00A20BF4" w:rsidRDefault="00CA361F" w:rsidP="00CA361F">
            <w:pPr>
              <w:jc w:val="center"/>
              <w:rPr>
                <w:sz w:val="20"/>
                <w:szCs w:val="32"/>
              </w:rPr>
            </w:pPr>
            <w:r w:rsidRPr="00A20BF4">
              <w:rPr>
                <w:sz w:val="20"/>
                <w:szCs w:val="32"/>
              </w:rPr>
              <w:t>0.65</w:t>
            </w:r>
          </w:p>
        </w:tc>
        <w:tc>
          <w:tcPr>
            <w:tcW w:w="640" w:type="dxa"/>
            <w:tcBorders>
              <w:top w:val="nil"/>
              <w:left w:val="nil"/>
              <w:bottom w:val="nil"/>
              <w:right w:val="nil"/>
            </w:tcBorders>
            <w:vAlign w:val="center"/>
          </w:tcPr>
          <w:p w14:paraId="704246DF" w14:textId="77777777" w:rsidR="00CA361F" w:rsidRPr="00A20BF4" w:rsidRDefault="00CA361F" w:rsidP="00CA361F">
            <w:pPr>
              <w:jc w:val="center"/>
              <w:rPr>
                <w:sz w:val="20"/>
                <w:szCs w:val="32"/>
              </w:rPr>
            </w:pPr>
            <w:r w:rsidRPr="00A20BF4">
              <w:rPr>
                <w:sz w:val="20"/>
                <w:szCs w:val="32"/>
              </w:rPr>
              <w:t>0.73</w:t>
            </w:r>
          </w:p>
        </w:tc>
        <w:tc>
          <w:tcPr>
            <w:tcW w:w="641" w:type="dxa"/>
            <w:tcBorders>
              <w:top w:val="nil"/>
              <w:left w:val="nil"/>
              <w:bottom w:val="nil"/>
            </w:tcBorders>
            <w:vAlign w:val="center"/>
          </w:tcPr>
          <w:p w14:paraId="39A5DC23" w14:textId="77777777" w:rsidR="00CA361F" w:rsidRPr="00A20BF4" w:rsidRDefault="00CA361F" w:rsidP="00CA361F">
            <w:pPr>
              <w:jc w:val="center"/>
              <w:rPr>
                <w:sz w:val="20"/>
                <w:szCs w:val="32"/>
              </w:rPr>
            </w:pPr>
            <w:r w:rsidRPr="00A20BF4">
              <w:rPr>
                <w:sz w:val="20"/>
                <w:szCs w:val="32"/>
              </w:rPr>
              <w:t>0.68</w:t>
            </w:r>
          </w:p>
        </w:tc>
      </w:tr>
      <w:tr w:rsidR="00CA361F" w:rsidRPr="00785ACF" w14:paraId="11400303" w14:textId="77777777" w:rsidTr="0029492A">
        <w:trPr>
          <w:jc w:val="center"/>
        </w:trPr>
        <w:tc>
          <w:tcPr>
            <w:tcW w:w="2688" w:type="dxa"/>
            <w:tcBorders>
              <w:top w:val="nil"/>
              <w:left w:val="nil"/>
              <w:bottom w:val="nil"/>
              <w:right w:val="single" w:sz="6" w:space="0" w:color="auto"/>
            </w:tcBorders>
            <w:vAlign w:val="center"/>
          </w:tcPr>
          <w:p w14:paraId="7A329588"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Tasmania</w:t>
            </w:r>
          </w:p>
        </w:tc>
        <w:tc>
          <w:tcPr>
            <w:tcW w:w="640" w:type="dxa"/>
            <w:tcBorders>
              <w:top w:val="nil"/>
              <w:left w:val="single" w:sz="6" w:space="0" w:color="auto"/>
              <w:bottom w:val="nil"/>
              <w:right w:val="nil"/>
            </w:tcBorders>
            <w:vAlign w:val="center"/>
          </w:tcPr>
          <w:p w14:paraId="019F7D5E" w14:textId="77777777" w:rsidR="00CA361F" w:rsidRPr="00A20BF4" w:rsidRDefault="00CA361F" w:rsidP="00CA361F">
            <w:pPr>
              <w:jc w:val="center"/>
              <w:rPr>
                <w:sz w:val="20"/>
                <w:szCs w:val="32"/>
              </w:rPr>
            </w:pPr>
            <w:r w:rsidRPr="00A20BF4">
              <w:rPr>
                <w:sz w:val="20"/>
                <w:szCs w:val="32"/>
              </w:rPr>
              <w:t>0.82</w:t>
            </w:r>
          </w:p>
        </w:tc>
        <w:tc>
          <w:tcPr>
            <w:tcW w:w="640" w:type="dxa"/>
            <w:tcBorders>
              <w:top w:val="nil"/>
              <w:left w:val="nil"/>
              <w:bottom w:val="nil"/>
              <w:right w:val="nil"/>
            </w:tcBorders>
            <w:vAlign w:val="center"/>
          </w:tcPr>
          <w:p w14:paraId="5E993578" w14:textId="77777777" w:rsidR="00CA361F" w:rsidRPr="00A20BF4" w:rsidRDefault="00CA361F" w:rsidP="00CA361F">
            <w:pPr>
              <w:jc w:val="center"/>
              <w:rPr>
                <w:sz w:val="20"/>
                <w:szCs w:val="32"/>
              </w:rPr>
            </w:pPr>
            <w:r w:rsidRPr="00A20BF4">
              <w:rPr>
                <w:sz w:val="20"/>
                <w:szCs w:val="32"/>
              </w:rPr>
              <w:t>0.83</w:t>
            </w:r>
          </w:p>
        </w:tc>
        <w:tc>
          <w:tcPr>
            <w:tcW w:w="641" w:type="dxa"/>
            <w:tcBorders>
              <w:top w:val="nil"/>
              <w:left w:val="nil"/>
              <w:bottom w:val="nil"/>
              <w:right w:val="nil"/>
            </w:tcBorders>
            <w:vAlign w:val="center"/>
          </w:tcPr>
          <w:p w14:paraId="36A530E2" w14:textId="77777777" w:rsidR="00CA361F" w:rsidRPr="00A20BF4" w:rsidRDefault="00CA361F" w:rsidP="00CA361F">
            <w:pPr>
              <w:jc w:val="center"/>
              <w:rPr>
                <w:sz w:val="20"/>
                <w:szCs w:val="32"/>
              </w:rPr>
            </w:pPr>
            <w:r w:rsidRPr="00A20BF4">
              <w:rPr>
                <w:sz w:val="20"/>
                <w:szCs w:val="32"/>
              </w:rPr>
              <w:t>0.85</w:t>
            </w:r>
          </w:p>
        </w:tc>
        <w:tc>
          <w:tcPr>
            <w:tcW w:w="640" w:type="dxa"/>
            <w:tcBorders>
              <w:top w:val="nil"/>
              <w:left w:val="nil"/>
              <w:bottom w:val="nil"/>
              <w:right w:val="nil"/>
            </w:tcBorders>
            <w:vAlign w:val="center"/>
          </w:tcPr>
          <w:p w14:paraId="7A512FCE" w14:textId="77777777" w:rsidR="00CA361F" w:rsidRPr="00A20BF4" w:rsidRDefault="00CA361F" w:rsidP="00CA361F">
            <w:pPr>
              <w:jc w:val="center"/>
              <w:rPr>
                <w:sz w:val="20"/>
                <w:szCs w:val="32"/>
              </w:rPr>
            </w:pPr>
            <w:r w:rsidRPr="00A20BF4">
              <w:rPr>
                <w:sz w:val="20"/>
                <w:szCs w:val="32"/>
              </w:rPr>
              <w:t>0.81</w:t>
            </w:r>
          </w:p>
        </w:tc>
        <w:tc>
          <w:tcPr>
            <w:tcW w:w="641" w:type="dxa"/>
            <w:tcBorders>
              <w:top w:val="nil"/>
              <w:left w:val="nil"/>
              <w:bottom w:val="nil"/>
              <w:right w:val="single" w:sz="6" w:space="0" w:color="auto"/>
            </w:tcBorders>
            <w:vAlign w:val="center"/>
          </w:tcPr>
          <w:p w14:paraId="17A3ECA5" w14:textId="77777777" w:rsidR="00CA361F" w:rsidRPr="00A20BF4" w:rsidRDefault="00CA361F" w:rsidP="00CA361F">
            <w:pPr>
              <w:jc w:val="center"/>
              <w:rPr>
                <w:sz w:val="20"/>
                <w:szCs w:val="32"/>
              </w:rPr>
            </w:pPr>
            <w:r w:rsidRPr="00A20BF4">
              <w:rPr>
                <w:sz w:val="20"/>
                <w:szCs w:val="32"/>
              </w:rPr>
              <w:t>0.83</w:t>
            </w:r>
          </w:p>
        </w:tc>
        <w:tc>
          <w:tcPr>
            <w:tcW w:w="640" w:type="dxa"/>
            <w:tcBorders>
              <w:top w:val="nil"/>
              <w:left w:val="single" w:sz="6" w:space="0" w:color="auto"/>
              <w:bottom w:val="nil"/>
              <w:right w:val="nil"/>
            </w:tcBorders>
            <w:vAlign w:val="center"/>
          </w:tcPr>
          <w:p w14:paraId="06BA44B2" w14:textId="77777777" w:rsidR="00CA361F" w:rsidRPr="00A20BF4" w:rsidRDefault="00CA361F" w:rsidP="00CA361F">
            <w:pPr>
              <w:jc w:val="center"/>
              <w:rPr>
                <w:sz w:val="20"/>
                <w:szCs w:val="32"/>
              </w:rPr>
            </w:pPr>
            <w:r w:rsidRPr="00A20BF4">
              <w:rPr>
                <w:sz w:val="20"/>
                <w:szCs w:val="32"/>
              </w:rPr>
              <w:t>0.84</w:t>
            </w:r>
          </w:p>
        </w:tc>
        <w:tc>
          <w:tcPr>
            <w:tcW w:w="640" w:type="dxa"/>
            <w:tcBorders>
              <w:top w:val="nil"/>
              <w:left w:val="nil"/>
              <w:bottom w:val="nil"/>
              <w:right w:val="nil"/>
            </w:tcBorders>
            <w:vAlign w:val="center"/>
          </w:tcPr>
          <w:p w14:paraId="32EA1078" w14:textId="77777777" w:rsidR="00CA361F" w:rsidRPr="00A20BF4" w:rsidRDefault="00CA361F" w:rsidP="00CA361F">
            <w:pPr>
              <w:jc w:val="center"/>
              <w:rPr>
                <w:sz w:val="20"/>
                <w:szCs w:val="32"/>
              </w:rPr>
            </w:pPr>
            <w:r w:rsidRPr="00A20BF4">
              <w:rPr>
                <w:sz w:val="20"/>
                <w:szCs w:val="32"/>
              </w:rPr>
              <w:t>0.83</w:t>
            </w:r>
          </w:p>
        </w:tc>
        <w:tc>
          <w:tcPr>
            <w:tcW w:w="641" w:type="dxa"/>
            <w:tcBorders>
              <w:top w:val="nil"/>
              <w:left w:val="nil"/>
              <w:bottom w:val="nil"/>
              <w:right w:val="nil"/>
            </w:tcBorders>
            <w:vAlign w:val="center"/>
          </w:tcPr>
          <w:p w14:paraId="5886A116" w14:textId="77777777" w:rsidR="00CA361F" w:rsidRPr="00A20BF4" w:rsidRDefault="00CA361F" w:rsidP="00CA361F">
            <w:pPr>
              <w:jc w:val="center"/>
              <w:rPr>
                <w:sz w:val="20"/>
                <w:szCs w:val="32"/>
              </w:rPr>
            </w:pPr>
            <w:r w:rsidRPr="00A20BF4">
              <w:rPr>
                <w:sz w:val="20"/>
                <w:szCs w:val="32"/>
              </w:rPr>
              <w:t>0.87</w:t>
            </w:r>
          </w:p>
        </w:tc>
        <w:tc>
          <w:tcPr>
            <w:tcW w:w="640" w:type="dxa"/>
            <w:tcBorders>
              <w:top w:val="nil"/>
              <w:left w:val="nil"/>
              <w:bottom w:val="nil"/>
              <w:right w:val="nil"/>
            </w:tcBorders>
            <w:vAlign w:val="center"/>
          </w:tcPr>
          <w:p w14:paraId="3FDEAC7F" w14:textId="77777777" w:rsidR="00CA361F" w:rsidRPr="00A20BF4" w:rsidRDefault="00CA361F" w:rsidP="00CA361F">
            <w:pPr>
              <w:jc w:val="center"/>
              <w:rPr>
                <w:sz w:val="20"/>
                <w:szCs w:val="32"/>
              </w:rPr>
            </w:pPr>
            <w:r w:rsidRPr="00A20BF4">
              <w:rPr>
                <w:sz w:val="20"/>
                <w:szCs w:val="32"/>
              </w:rPr>
              <w:t>0.81</w:t>
            </w:r>
          </w:p>
        </w:tc>
        <w:tc>
          <w:tcPr>
            <w:tcW w:w="641" w:type="dxa"/>
            <w:tcBorders>
              <w:top w:val="nil"/>
              <w:left w:val="nil"/>
              <w:bottom w:val="nil"/>
            </w:tcBorders>
            <w:vAlign w:val="center"/>
          </w:tcPr>
          <w:p w14:paraId="5C8C665E" w14:textId="77777777" w:rsidR="00CA361F" w:rsidRPr="00A20BF4" w:rsidRDefault="00CA361F" w:rsidP="00CA361F">
            <w:pPr>
              <w:jc w:val="center"/>
              <w:rPr>
                <w:sz w:val="20"/>
                <w:szCs w:val="32"/>
              </w:rPr>
            </w:pPr>
            <w:r w:rsidRPr="00A20BF4">
              <w:rPr>
                <w:sz w:val="20"/>
                <w:szCs w:val="32"/>
              </w:rPr>
              <w:t>0.84</w:t>
            </w:r>
          </w:p>
        </w:tc>
      </w:tr>
      <w:tr w:rsidR="00CA361F" w:rsidRPr="00785ACF" w14:paraId="4920E0A0" w14:textId="77777777" w:rsidTr="0029492A">
        <w:trPr>
          <w:jc w:val="center"/>
        </w:trPr>
        <w:tc>
          <w:tcPr>
            <w:tcW w:w="2688" w:type="dxa"/>
            <w:tcBorders>
              <w:top w:val="nil"/>
              <w:left w:val="nil"/>
              <w:bottom w:val="single" w:sz="6" w:space="0" w:color="auto"/>
              <w:right w:val="single" w:sz="6" w:space="0" w:color="auto"/>
            </w:tcBorders>
            <w:vAlign w:val="center"/>
          </w:tcPr>
          <w:p w14:paraId="5FC03BEA" w14:textId="77777777" w:rsidR="00CA361F" w:rsidRPr="00785ACF" w:rsidRDefault="00CA361F" w:rsidP="00CA361F">
            <w:pPr>
              <w:ind w:right="170"/>
              <w:contextualSpacing/>
              <w:rPr>
                <w:sz w:val="20"/>
                <w:szCs w:val="20"/>
              </w:rPr>
            </w:pPr>
            <w:r>
              <w:rPr>
                <w:sz w:val="20"/>
                <w:szCs w:val="20"/>
              </w:rPr>
              <w:t xml:space="preserve"> </w:t>
            </w:r>
            <w:r w:rsidRPr="00785ACF">
              <w:rPr>
                <w:sz w:val="20"/>
                <w:szCs w:val="20"/>
              </w:rPr>
              <w:t>Australian Capital Territory</w:t>
            </w:r>
          </w:p>
        </w:tc>
        <w:tc>
          <w:tcPr>
            <w:tcW w:w="640" w:type="dxa"/>
            <w:tcBorders>
              <w:top w:val="nil"/>
              <w:left w:val="single" w:sz="6" w:space="0" w:color="auto"/>
              <w:bottom w:val="single" w:sz="6" w:space="0" w:color="auto"/>
              <w:right w:val="nil"/>
            </w:tcBorders>
            <w:vAlign w:val="center"/>
          </w:tcPr>
          <w:p w14:paraId="6CC77831" w14:textId="77777777" w:rsidR="00CA361F" w:rsidRPr="00A20BF4" w:rsidRDefault="00CA361F" w:rsidP="00CA361F">
            <w:pPr>
              <w:jc w:val="center"/>
              <w:rPr>
                <w:sz w:val="20"/>
                <w:szCs w:val="32"/>
              </w:rPr>
            </w:pPr>
            <w:r w:rsidRPr="00A20BF4">
              <w:rPr>
                <w:sz w:val="20"/>
                <w:szCs w:val="32"/>
              </w:rPr>
              <w:t>0.69</w:t>
            </w:r>
          </w:p>
        </w:tc>
        <w:tc>
          <w:tcPr>
            <w:tcW w:w="640" w:type="dxa"/>
            <w:tcBorders>
              <w:top w:val="nil"/>
              <w:left w:val="nil"/>
              <w:bottom w:val="single" w:sz="6" w:space="0" w:color="auto"/>
              <w:right w:val="nil"/>
            </w:tcBorders>
            <w:vAlign w:val="center"/>
          </w:tcPr>
          <w:p w14:paraId="3B5AD721" w14:textId="77777777" w:rsidR="00CA361F" w:rsidRPr="00A20BF4" w:rsidRDefault="00CA361F" w:rsidP="00CA361F">
            <w:pPr>
              <w:jc w:val="center"/>
              <w:rPr>
                <w:sz w:val="20"/>
                <w:szCs w:val="32"/>
              </w:rPr>
            </w:pPr>
            <w:r w:rsidRPr="00A20BF4">
              <w:rPr>
                <w:sz w:val="20"/>
                <w:szCs w:val="32"/>
              </w:rPr>
              <w:t>0.76</w:t>
            </w:r>
          </w:p>
        </w:tc>
        <w:tc>
          <w:tcPr>
            <w:tcW w:w="641" w:type="dxa"/>
            <w:tcBorders>
              <w:top w:val="nil"/>
              <w:left w:val="nil"/>
              <w:bottom w:val="single" w:sz="6" w:space="0" w:color="auto"/>
              <w:right w:val="nil"/>
            </w:tcBorders>
            <w:vAlign w:val="center"/>
          </w:tcPr>
          <w:p w14:paraId="26FBD30C" w14:textId="77777777" w:rsidR="00CA361F" w:rsidRPr="00A20BF4" w:rsidRDefault="00CA361F" w:rsidP="00CA361F">
            <w:pPr>
              <w:jc w:val="center"/>
              <w:rPr>
                <w:sz w:val="20"/>
                <w:szCs w:val="32"/>
              </w:rPr>
            </w:pPr>
            <w:r w:rsidRPr="00A20BF4">
              <w:rPr>
                <w:sz w:val="20"/>
                <w:szCs w:val="32"/>
              </w:rPr>
              <w:t>0.77</w:t>
            </w:r>
          </w:p>
        </w:tc>
        <w:tc>
          <w:tcPr>
            <w:tcW w:w="640" w:type="dxa"/>
            <w:tcBorders>
              <w:top w:val="nil"/>
              <w:left w:val="nil"/>
              <w:bottom w:val="single" w:sz="6" w:space="0" w:color="auto"/>
              <w:right w:val="nil"/>
            </w:tcBorders>
            <w:vAlign w:val="center"/>
          </w:tcPr>
          <w:p w14:paraId="25DC46D5" w14:textId="77777777" w:rsidR="00CA361F" w:rsidRPr="00A20BF4" w:rsidRDefault="00CA361F" w:rsidP="00CA361F">
            <w:pPr>
              <w:jc w:val="center"/>
              <w:rPr>
                <w:sz w:val="20"/>
                <w:szCs w:val="32"/>
              </w:rPr>
            </w:pPr>
            <w:r w:rsidRPr="00A20BF4">
              <w:rPr>
                <w:sz w:val="20"/>
                <w:szCs w:val="32"/>
              </w:rPr>
              <w:t>0.69</w:t>
            </w:r>
          </w:p>
        </w:tc>
        <w:tc>
          <w:tcPr>
            <w:tcW w:w="641" w:type="dxa"/>
            <w:tcBorders>
              <w:top w:val="nil"/>
              <w:left w:val="nil"/>
              <w:bottom w:val="single" w:sz="6" w:space="0" w:color="auto"/>
              <w:right w:val="single" w:sz="6" w:space="0" w:color="auto"/>
            </w:tcBorders>
            <w:vAlign w:val="center"/>
          </w:tcPr>
          <w:p w14:paraId="0E961A32" w14:textId="77777777" w:rsidR="00CA361F" w:rsidRPr="00A20BF4" w:rsidRDefault="00CA361F" w:rsidP="00CA361F">
            <w:pPr>
              <w:jc w:val="center"/>
              <w:rPr>
                <w:sz w:val="20"/>
                <w:szCs w:val="32"/>
              </w:rPr>
            </w:pPr>
            <w:r w:rsidRPr="00A20BF4">
              <w:rPr>
                <w:sz w:val="20"/>
                <w:szCs w:val="32"/>
              </w:rPr>
              <w:t>0.80</w:t>
            </w:r>
          </w:p>
        </w:tc>
        <w:tc>
          <w:tcPr>
            <w:tcW w:w="640" w:type="dxa"/>
            <w:tcBorders>
              <w:top w:val="nil"/>
              <w:left w:val="single" w:sz="6" w:space="0" w:color="auto"/>
              <w:bottom w:val="single" w:sz="6" w:space="0" w:color="auto"/>
              <w:right w:val="nil"/>
            </w:tcBorders>
            <w:vAlign w:val="center"/>
          </w:tcPr>
          <w:p w14:paraId="2F77A836" w14:textId="77777777" w:rsidR="00CA361F" w:rsidRPr="00A20BF4" w:rsidRDefault="00CA361F" w:rsidP="00CA361F">
            <w:pPr>
              <w:jc w:val="center"/>
              <w:rPr>
                <w:sz w:val="20"/>
                <w:szCs w:val="32"/>
              </w:rPr>
            </w:pPr>
            <w:r w:rsidRPr="00A20BF4">
              <w:rPr>
                <w:sz w:val="20"/>
                <w:szCs w:val="32"/>
              </w:rPr>
              <w:t>0.73</w:t>
            </w:r>
          </w:p>
        </w:tc>
        <w:tc>
          <w:tcPr>
            <w:tcW w:w="640" w:type="dxa"/>
            <w:tcBorders>
              <w:top w:val="nil"/>
              <w:left w:val="nil"/>
              <w:bottom w:val="single" w:sz="6" w:space="0" w:color="auto"/>
              <w:right w:val="nil"/>
            </w:tcBorders>
            <w:vAlign w:val="center"/>
          </w:tcPr>
          <w:p w14:paraId="1C7CF45D" w14:textId="77777777" w:rsidR="00CA361F" w:rsidRPr="00A20BF4" w:rsidRDefault="00CA361F" w:rsidP="00CA361F">
            <w:pPr>
              <w:jc w:val="center"/>
              <w:rPr>
                <w:sz w:val="20"/>
                <w:szCs w:val="32"/>
              </w:rPr>
            </w:pPr>
            <w:r w:rsidRPr="00A20BF4">
              <w:rPr>
                <w:sz w:val="20"/>
                <w:szCs w:val="32"/>
              </w:rPr>
              <w:t>0.77</w:t>
            </w:r>
          </w:p>
        </w:tc>
        <w:tc>
          <w:tcPr>
            <w:tcW w:w="641" w:type="dxa"/>
            <w:tcBorders>
              <w:top w:val="nil"/>
              <w:left w:val="nil"/>
              <w:bottom w:val="single" w:sz="6" w:space="0" w:color="auto"/>
              <w:right w:val="nil"/>
            </w:tcBorders>
            <w:vAlign w:val="center"/>
          </w:tcPr>
          <w:p w14:paraId="00B757F9" w14:textId="77777777" w:rsidR="00CA361F" w:rsidRPr="00A20BF4" w:rsidRDefault="00CA361F" w:rsidP="00CA361F">
            <w:pPr>
              <w:jc w:val="center"/>
              <w:rPr>
                <w:sz w:val="20"/>
                <w:szCs w:val="32"/>
              </w:rPr>
            </w:pPr>
            <w:r w:rsidRPr="00A20BF4">
              <w:rPr>
                <w:sz w:val="20"/>
                <w:szCs w:val="32"/>
              </w:rPr>
              <w:t>0.77</w:t>
            </w:r>
          </w:p>
        </w:tc>
        <w:tc>
          <w:tcPr>
            <w:tcW w:w="640" w:type="dxa"/>
            <w:tcBorders>
              <w:top w:val="nil"/>
              <w:left w:val="nil"/>
              <w:bottom w:val="single" w:sz="6" w:space="0" w:color="auto"/>
              <w:right w:val="nil"/>
            </w:tcBorders>
            <w:vAlign w:val="center"/>
          </w:tcPr>
          <w:p w14:paraId="14B6AA2D" w14:textId="77777777" w:rsidR="00CA361F" w:rsidRPr="00A20BF4" w:rsidRDefault="00CA361F" w:rsidP="00CA361F">
            <w:pPr>
              <w:jc w:val="center"/>
              <w:rPr>
                <w:sz w:val="20"/>
                <w:szCs w:val="32"/>
              </w:rPr>
            </w:pPr>
            <w:r w:rsidRPr="00A20BF4">
              <w:rPr>
                <w:sz w:val="20"/>
                <w:szCs w:val="32"/>
              </w:rPr>
              <w:t>0.73</w:t>
            </w:r>
          </w:p>
        </w:tc>
        <w:tc>
          <w:tcPr>
            <w:tcW w:w="641" w:type="dxa"/>
            <w:tcBorders>
              <w:top w:val="nil"/>
              <w:left w:val="nil"/>
              <w:bottom w:val="single" w:sz="6" w:space="0" w:color="auto"/>
            </w:tcBorders>
            <w:vAlign w:val="center"/>
          </w:tcPr>
          <w:p w14:paraId="3EAB3519" w14:textId="77777777" w:rsidR="00CA361F" w:rsidRPr="00A20BF4" w:rsidRDefault="00CA361F" w:rsidP="00CA361F">
            <w:pPr>
              <w:jc w:val="center"/>
              <w:rPr>
                <w:sz w:val="20"/>
                <w:szCs w:val="32"/>
              </w:rPr>
            </w:pPr>
            <w:r w:rsidRPr="00A20BF4">
              <w:rPr>
                <w:sz w:val="20"/>
                <w:szCs w:val="32"/>
              </w:rPr>
              <w:t>0.78</w:t>
            </w:r>
          </w:p>
        </w:tc>
      </w:tr>
    </w:tbl>
    <w:p w14:paraId="42365852" w14:textId="57F394E6" w:rsidR="006C5E85" w:rsidRDefault="006C5E85" w:rsidP="00DA1034">
      <w:pPr>
        <w:ind w:right="-302"/>
      </w:pPr>
    </w:p>
    <w:p w14:paraId="36A42654" w14:textId="647CF1DC" w:rsidR="006C5E85" w:rsidRDefault="006C5E85"/>
    <w:sectPr w:rsidR="006C5E85" w:rsidSect="00A85E85">
      <w:pgSz w:w="11907" w:h="16839" w:code="9"/>
      <w:pgMar w:top="2160" w:right="2160" w:bottom="2160" w:left="2160" w:header="720" w:footer="720" w:gutter="0"/>
      <w:cols w:space="3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6BC3B" w14:textId="77777777" w:rsidR="00E06617" w:rsidRDefault="00E06617" w:rsidP="00520C49">
      <w:r>
        <w:separator/>
      </w:r>
    </w:p>
  </w:endnote>
  <w:endnote w:type="continuationSeparator" w:id="0">
    <w:p w14:paraId="0AEA8F2E" w14:textId="77777777" w:rsidR="00E06617" w:rsidRDefault="00E06617" w:rsidP="0052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LTStd-Italic">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349735"/>
      <w:docPartObj>
        <w:docPartGallery w:val="Page Numbers (Bottom of Page)"/>
        <w:docPartUnique/>
      </w:docPartObj>
    </w:sdtPr>
    <w:sdtEndPr/>
    <w:sdtContent>
      <w:p w14:paraId="060F4FCC" w14:textId="6521134B" w:rsidR="00482F91" w:rsidRDefault="00482F91">
        <w:pPr>
          <w:pStyle w:val="Footer"/>
          <w:jc w:val="center"/>
        </w:pPr>
        <w:r>
          <w:fldChar w:fldCharType="begin"/>
        </w:r>
        <w:r>
          <w:instrText xml:space="preserve"> PAGE   \* MERGEFORMAT </w:instrText>
        </w:r>
        <w:r>
          <w:fldChar w:fldCharType="separate"/>
        </w:r>
        <w:r w:rsidR="00F4195F">
          <w:rPr>
            <w:noProof/>
          </w:rPr>
          <w:t>2</w:t>
        </w:r>
        <w:r>
          <w:rPr>
            <w:noProof/>
          </w:rPr>
          <w:fldChar w:fldCharType="end"/>
        </w:r>
      </w:p>
    </w:sdtContent>
  </w:sdt>
  <w:p w14:paraId="204386EB" w14:textId="77777777" w:rsidR="00482F91" w:rsidRDefault="0048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7A44F" w14:textId="77777777" w:rsidR="00E06617" w:rsidRDefault="00E06617" w:rsidP="00520C49"/>
  </w:footnote>
  <w:footnote w:type="continuationSeparator" w:id="0">
    <w:p w14:paraId="1D8A0D78" w14:textId="77777777" w:rsidR="00E06617" w:rsidRDefault="00E06617" w:rsidP="00520C49">
      <w:r>
        <w:continuationSeparator/>
      </w:r>
    </w:p>
  </w:footnote>
  <w:footnote w:id="1">
    <w:p w14:paraId="164474E6" w14:textId="77777777" w:rsidR="00482F91" w:rsidRPr="0001692A" w:rsidRDefault="00482F91" w:rsidP="00EC5BC4">
      <w:pPr>
        <w:pStyle w:val="FootnoteText"/>
        <w:spacing w:after="120" w:line="276" w:lineRule="auto"/>
        <w:ind w:firstLine="204"/>
        <w:rPr>
          <w:sz w:val="20"/>
          <w:szCs w:val="32"/>
          <w:lang w:val="en-AU"/>
        </w:rPr>
      </w:pPr>
      <w:r w:rsidRPr="0001692A">
        <w:rPr>
          <w:rStyle w:val="FootnoteReference"/>
          <w:sz w:val="20"/>
          <w:szCs w:val="20"/>
        </w:rPr>
        <w:footnoteRef/>
      </w:r>
      <w:r w:rsidRPr="0001692A">
        <w:rPr>
          <w:sz w:val="20"/>
          <w:szCs w:val="32"/>
        </w:rPr>
        <w:t xml:space="preserve"> </w:t>
      </w:r>
      <w:r w:rsidRPr="0001692A">
        <w:rPr>
          <w:sz w:val="20"/>
          <w:szCs w:val="32"/>
          <w:lang w:val="en-AU"/>
        </w:rPr>
        <w:t xml:space="preserve">Levitt et al. (2012) and Cook et al. (2014) report on successful field experiments with CCTs in Chicago, funded from non-government sources. </w:t>
      </w:r>
    </w:p>
  </w:footnote>
  <w:footnote w:id="2">
    <w:p w14:paraId="5B4565BB" w14:textId="2D477274" w:rsidR="00482F91" w:rsidRPr="0001692A" w:rsidRDefault="00482F91" w:rsidP="00EC5BC4">
      <w:pPr>
        <w:pStyle w:val="FootnoteText"/>
        <w:spacing w:after="120" w:line="276" w:lineRule="auto"/>
        <w:ind w:firstLine="204"/>
        <w:rPr>
          <w:sz w:val="20"/>
          <w:szCs w:val="32"/>
          <w:lang w:val="en-AU"/>
        </w:rPr>
      </w:pPr>
      <w:r w:rsidRPr="0001692A">
        <w:rPr>
          <w:rStyle w:val="FootnoteReference"/>
          <w:sz w:val="20"/>
          <w:szCs w:val="20"/>
        </w:rPr>
        <w:footnoteRef/>
      </w:r>
      <w:r w:rsidRPr="0001692A">
        <w:rPr>
          <w:sz w:val="20"/>
          <w:szCs w:val="32"/>
        </w:rPr>
        <w:t xml:space="preserve"> Prominent among these is </w:t>
      </w:r>
      <w:r w:rsidRPr="0001692A">
        <w:rPr>
          <w:sz w:val="20"/>
          <w:szCs w:val="32"/>
          <w:lang w:val="en-AU"/>
        </w:rPr>
        <w:t xml:space="preserve">the forced removal of Indigenous children from their families by Australian </w:t>
      </w:r>
      <w:r>
        <w:rPr>
          <w:sz w:val="20"/>
          <w:szCs w:val="32"/>
          <w:lang w:val="en-AU"/>
        </w:rPr>
        <w:t>f</w:t>
      </w:r>
      <w:r w:rsidRPr="0001692A">
        <w:rPr>
          <w:sz w:val="20"/>
          <w:szCs w:val="32"/>
          <w:lang w:val="en-AU"/>
        </w:rPr>
        <w:t xml:space="preserve">ederal and </w:t>
      </w:r>
      <w:r>
        <w:rPr>
          <w:sz w:val="20"/>
          <w:szCs w:val="32"/>
          <w:lang w:val="en-AU"/>
        </w:rPr>
        <w:t>s</w:t>
      </w:r>
      <w:r w:rsidRPr="0001692A">
        <w:rPr>
          <w:sz w:val="20"/>
          <w:szCs w:val="32"/>
          <w:lang w:val="en-AU"/>
        </w:rPr>
        <w:t>tate government agencies, which began around the turn of the 20</w:t>
      </w:r>
      <w:r w:rsidRPr="0001692A">
        <w:rPr>
          <w:sz w:val="20"/>
          <w:szCs w:val="32"/>
          <w:vertAlign w:val="superscript"/>
          <w:lang w:val="en-AU"/>
        </w:rPr>
        <w:t>th</w:t>
      </w:r>
      <w:r w:rsidRPr="0001692A">
        <w:rPr>
          <w:sz w:val="20"/>
          <w:szCs w:val="32"/>
          <w:lang w:val="en-AU"/>
        </w:rPr>
        <w:t xml:space="preserve"> century and continued until the mid-1970s. In 2008, Australian Prime Minister Kevin Rudd issued a formal recognition and apology for what the Australian Government called "The Stolen Generations" (Australian Human Rights Commission, 1997). </w:t>
      </w:r>
    </w:p>
  </w:footnote>
  <w:footnote w:id="3">
    <w:p w14:paraId="105CB065" w14:textId="48A36D00" w:rsidR="00482F91" w:rsidRPr="0001692A" w:rsidRDefault="00482F91" w:rsidP="00EC5BC4">
      <w:pPr>
        <w:pStyle w:val="FootnoteText"/>
        <w:spacing w:after="120" w:line="276" w:lineRule="auto"/>
        <w:ind w:firstLine="204"/>
        <w:rPr>
          <w:sz w:val="20"/>
          <w:szCs w:val="32"/>
        </w:rPr>
      </w:pPr>
      <w:r w:rsidRPr="0001692A">
        <w:rPr>
          <w:rStyle w:val="FootnoteReference"/>
          <w:sz w:val="20"/>
          <w:szCs w:val="20"/>
        </w:rPr>
        <w:footnoteRef/>
      </w:r>
      <w:r w:rsidRPr="0001692A">
        <w:rPr>
          <w:sz w:val="20"/>
          <w:szCs w:val="32"/>
        </w:rPr>
        <w:t xml:space="preserve"> Our analysis relies on publicly available data aggregated by state/territory and Indigenous</w:t>
      </w:r>
      <w:r>
        <w:rPr>
          <w:sz w:val="20"/>
          <w:szCs w:val="32"/>
        </w:rPr>
        <w:t xml:space="preserve"> status</w:t>
      </w:r>
      <w:r w:rsidRPr="0001692A">
        <w:rPr>
          <w:sz w:val="20"/>
          <w:szCs w:val="32"/>
        </w:rPr>
        <w:t xml:space="preserve">. </w:t>
      </w:r>
      <w:r>
        <w:rPr>
          <w:sz w:val="20"/>
          <w:szCs w:val="32"/>
        </w:rPr>
        <w:t xml:space="preserve">More finely disaggregated data </w:t>
      </w:r>
      <w:r w:rsidRPr="0001692A">
        <w:rPr>
          <w:sz w:val="20"/>
          <w:szCs w:val="32"/>
        </w:rPr>
        <w:t xml:space="preserve">would allow a more detailed analysis but </w:t>
      </w:r>
      <w:r>
        <w:rPr>
          <w:sz w:val="20"/>
          <w:szCs w:val="32"/>
        </w:rPr>
        <w:t>is</w:t>
      </w:r>
      <w:r w:rsidRPr="0001692A">
        <w:rPr>
          <w:sz w:val="20"/>
          <w:szCs w:val="32"/>
        </w:rPr>
        <w:t xml:space="preserve"> not </w:t>
      </w:r>
      <w:r>
        <w:rPr>
          <w:sz w:val="20"/>
          <w:szCs w:val="32"/>
        </w:rPr>
        <w:t xml:space="preserve">publicly </w:t>
      </w:r>
      <w:r w:rsidRPr="0001692A">
        <w:rPr>
          <w:sz w:val="20"/>
          <w:szCs w:val="32"/>
        </w:rPr>
        <w:t>available.</w:t>
      </w:r>
      <w:r>
        <w:rPr>
          <w:sz w:val="20"/>
          <w:szCs w:val="32"/>
        </w:rPr>
        <w:t xml:space="preserve"> Earlier observations would allow us to examine whether treated and untreated groups followed a common trend in the pre-treatment period but are also not available as uniform national data collection began in 2008. We elaborate on this below.</w:t>
      </w:r>
    </w:p>
  </w:footnote>
  <w:footnote w:id="4">
    <w:p w14:paraId="24425CD0" w14:textId="21F4E912" w:rsidR="00482F91" w:rsidRPr="0001692A" w:rsidRDefault="00482F91" w:rsidP="00EC5BC4">
      <w:pPr>
        <w:pStyle w:val="FootnoteText"/>
        <w:spacing w:after="120" w:line="276" w:lineRule="auto"/>
        <w:ind w:firstLine="204"/>
        <w:rPr>
          <w:sz w:val="20"/>
          <w:szCs w:val="32"/>
        </w:rPr>
      </w:pPr>
      <w:r w:rsidRPr="0001692A">
        <w:rPr>
          <w:rStyle w:val="FootnoteReference"/>
          <w:sz w:val="20"/>
          <w:szCs w:val="20"/>
        </w:rPr>
        <w:footnoteRef/>
      </w:r>
      <w:r w:rsidRPr="0001692A">
        <w:rPr>
          <w:sz w:val="12"/>
          <w:szCs w:val="20"/>
        </w:rPr>
        <w:t xml:space="preserve"> </w:t>
      </w:r>
      <w:r w:rsidRPr="0001692A">
        <w:rPr>
          <w:sz w:val="20"/>
          <w:szCs w:val="32"/>
        </w:rPr>
        <w:t>It also indicates that students induced by SEAM to participate in NAPLAN were of similar academic ability to those who participated in NAPLAN before SEAM.</w:t>
      </w:r>
    </w:p>
  </w:footnote>
  <w:footnote w:id="5">
    <w:p w14:paraId="591239D7" w14:textId="7D607C35" w:rsidR="00482F91" w:rsidRPr="004E3B63" w:rsidRDefault="00482F91" w:rsidP="00EC5BC4">
      <w:pPr>
        <w:pStyle w:val="FootnoteText"/>
        <w:spacing w:after="120" w:line="276" w:lineRule="auto"/>
        <w:rPr>
          <w:sz w:val="20"/>
          <w:szCs w:val="20"/>
          <w:lang w:val="en-AU"/>
        </w:rPr>
      </w:pPr>
      <w:r w:rsidRPr="004E3B63">
        <w:rPr>
          <w:rStyle w:val="FootnoteReference"/>
          <w:sz w:val="20"/>
          <w:szCs w:val="20"/>
        </w:rPr>
        <w:footnoteRef/>
      </w:r>
      <w:r w:rsidRPr="004E3B63">
        <w:rPr>
          <w:sz w:val="20"/>
          <w:szCs w:val="20"/>
        </w:rPr>
        <w:t xml:space="preserve"> </w:t>
      </w:r>
      <w:r>
        <w:rPr>
          <w:sz w:val="20"/>
          <w:szCs w:val="20"/>
        </w:rPr>
        <w:t xml:space="preserve">The Australian Bureau of Statistics (ABS) publishes estimates of total </w:t>
      </w:r>
      <w:r w:rsidRPr="004E3B63">
        <w:rPr>
          <w:sz w:val="20"/>
          <w:szCs w:val="20"/>
          <w:lang w:val="en-AU"/>
        </w:rPr>
        <w:t>enrolment</w:t>
      </w:r>
      <w:r>
        <w:rPr>
          <w:sz w:val="20"/>
          <w:szCs w:val="20"/>
          <w:lang w:val="en-AU"/>
        </w:rPr>
        <w:t xml:space="preserve"> for</w:t>
      </w:r>
      <w:r w:rsidRPr="004E3B63">
        <w:rPr>
          <w:sz w:val="20"/>
          <w:szCs w:val="20"/>
          <w:lang w:val="en-AU"/>
        </w:rPr>
        <w:t xml:space="preserve"> Indigenous </w:t>
      </w:r>
      <w:r>
        <w:rPr>
          <w:sz w:val="20"/>
          <w:szCs w:val="20"/>
          <w:lang w:val="en-AU"/>
        </w:rPr>
        <w:t>students</w:t>
      </w:r>
      <w:r w:rsidRPr="004E3B63">
        <w:rPr>
          <w:sz w:val="20"/>
          <w:szCs w:val="20"/>
          <w:lang w:val="en-AU"/>
        </w:rPr>
        <w:t xml:space="preserve"> across states and territories</w:t>
      </w:r>
      <w:r>
        <w:rPr>
          <w:sz w:val="20"/>
          <w:szCs w:val="20"/>
          <w:lang w:val="en-AU"/>
        </w:rPr>
        <w:t>,</w:t>
      </w:r>
      <w:r w:rsidRPr="004E3B63">
        <w:rPr>
          <w:sz w:val="20"/>
          <w:szCs w:val="20"/>
          <w:lang w:val="en-AU"/>
        </w:rPr>
        <w:t xml:space="preserve"> </w:t>
      </w:r>
      <w:r>
        <w:rPr>
          <w:sz w:val="20"/>
          <w:szCs w:val="20"/>
          <w:lang w:val="en-AU"/>
        </w:rPr>
        <w:t xml:space="preserve">beginning in 2001 (Table 4221.0, from </w:t>
      </w:r>
      <w:r w:rsidRPr="00EC5BC4">
        <w:rPr>
          <w:sz w:val="20"/>
          <w:szCs w:val="20"/>
          <w:lang w:val="en-AU"/>
        </w:rPr>
        <w:t>Schools, Australia</w:t>
      </w:r>
      <w:r>
        <w:rPr>
          <w:sz w:val="20"/>
          <w:szCs w:val="20"/>
          <w:lang w:val="en-AU"/>
        </w:rPr>
        <w:t xml:space="preserve">, </w:t>
      </w:r>
      <w:proofErr w:type="gramStart"/>
      <w:r>
        <w:rPr>
          <w:sz w:val="20"/>
          <w:szCs w:val="20"/>
          <w:lang w:val="en-AU"/>
        </w:rPr>
        <w:t>http</w:t>
      </w:r>
      <w:proofErr w:type="gramEnd"/>
      <w:r>
        <w:rPr>
          <w:sz w:val="20"/>
          <w:szCs w:val="20"/>
          <w:lang w:val="en-AU"/>
        </w:rPr>
        <w:t xml:space="preserve">//www.abs.gov.au). However, this data does </w:t>
      </w:r>
      <w:r w:rsidRPr="004E3B63">
        <w:rPr>
          <w:sz w:val="20"/>
          <w:szCs w:val="20"/>
          <w:lang w:val="en-AU"/>
        </w:rPr>
        <w:t xml:space="preserve">not relate to attendance or participation rates, </w:t>
      </w:r>
      <w:r>
        <w:rPr>
          <w:sz w:val="20"/>
          <w:szCs w:val="20"/>
          <w:lang w:val="en-AU"/>
        </w:rPr>
        <w:t>nor does it</w:t>
      </w:r>
      <w:r w:rsidRPr="004E3B63">
        <w:rPr>
          <w:sz w:val="20"/>
          <w:szCs w:val="20"/>
          <w:lang w:val="en-AU"/>
        </w:rPr>
        <w:t xml:space="preserve"> correlate with our NAPLAN participation data for the years that both are available. </w:t>
      </w:r>
    </w:p>
  </w:footnote>
  <w:footnote w:id="6">
    <w:p w14:paraId="4EE7D707" w14:textId="52BC4BDE" w:rsidR="00482F91" w:rsidRPr="0001692A" w:rsidRDefault="00482F91" w:rsidP="00EC5BC4">
      <w:pPr>
        <w:pStyle w:val="FootnoteText"/>
        <w:spacing w:after="120" w:line="276" w:lineRule="auto"/>
        <w:ind w:firstLine="204"/>
        <w:rPr>
          <w:sz w:val="20"/>
          <w:szCs w:val="32"/>
        </w:rPr>
      </w:pPr>
      <w:r w:rsidRPr="0001692A">
        <w:rPr>
          <w:rStyle w:val="FootnoteReference"/>
          <w:sz w:val="20"/>
          <w:szCs w:val="20"/>
        </w:rPr>
        <w:footnoteRef/>
      </w:r>
      <w:r w:rsidRPr="0001692A">
        <w:rPr>
          <w:sz w:val="20"/>
          <w:szCs w:val="20"/>
        </w:rPr>
        <w:t xml:space="preserve"> We cannot rule</w:t>
      </w:r>
      <w:r w:rsidRPr="0001692A">
        <w:rPr>
          <w:sz w:val="20"/>
          <w:szCs w:val="32"/>
        </w:rPr>
        <w:t xml:space="preserve"> out the possibility that the subsequent decline in participation rates did not reflect a similar decline in attendance, but </w:t>
      </w:r>
      <w:r>
        <w:rPr>
          <w:sz w:val="20"/>
          <w:szCs w:val="32"/>
        </w:rPr>
        <w:t>it</w:t>
      </w:r>
      <w:r w:rsidRPr="0001692A">
        <w:rPr>
          <w:sz w:val="20"/>
          <w:szCs w:val="32"/>
        </w:rPr>
        <w:t xml:space="preserve"> seems </w:t>
      </w:r>
      <w:r>
        <w:rPr>
          <w:sz w:val="20"/>
          <w:szCs w:val="32"/>
        </w:rPr>
        <w:t>more</w:t>
      </w:r>
      <w:r w:rsidRPr="0001692A">
        <w:rPr>
          <w:sz w:val="20"/>
          <w:szCs w:val="32"/>
        </w:rPr>
        <w:t xml:space="preserve"> likely that the two went hand in hand.</w:t>
      </w:r>
    </w:p>
  </w:footnote>
  <w:footnote w:id="7">
    <w:p w14:paraId="0414F50A" w14:textId="54F59C02" w:rsidR="00482F91" w:rsidRPr="0001692A" w:rsidRDefault="00482F91" w:rsidP="00EC5BC4">
      <w:pPr>
        <w:pStyle w:val="FootnoteText"/>
        <w:spacing w:after="120" w:line="276" w:lineRule="auto"/>
        <w:ind w:firstLine="204"/>
        <w:rPr>
          <w:sz w:val="20"/>
          <w:szCs w:val="32"/>
        </w:rPr>
      </w:pPr>
      <w:r w:rsidRPr="0001692A">
        <w:rPr>
          <w:rStyle w:val="FootnoteReference"/>
          <w:sz w:val="20"/>
          <w:szCs w:val="20"/>
        </w:rPr>
        <w:footnoteRef/>
      </w:r>
      <w:r w:rsidRPr="0001692A">
        <w:rPr>
          <w:sz w:val="20"/>
          <w:szCs w:val="32"/>
        </w:rPr>
        <w:t xml:space="preserve"> </w:t>
      </w:r>
      <w:r w:rsidRPr="0001692A">
        <w:rPr>
          <w:sz w:val="20"/>
          <w:szCs w:val="32"/>
          <w:lang w:val="en-AU"/>
        </w:rPr>
        <w:t>The numbers for women are about four years higher with similar inter-group differences.</w:t>
      </w:r>
      <w:r w:rsidRPr="0001692A">
        <w:rPr>
          <w:sz w:val="20"/>
          <w:szCs w:val="32"/>
        </w:rPr>
        <w:t xml:space="preserve"> </w:t>
      </w:r>
    </w:p>
  </w:footnote>
  <w:footnote w:id="8">
    <w:p w14:paraId="60D3118E" w14:textId="625B604D" w:rsidR="00482F91" w:rsidRPr="0001692A" w:rsidRDefault="00482F91" w:rsidP="00EC5BC4">
      <w:pPr>
        <w:pStyle w:val="FootnoteText"/>
        <w:spacing w:after="120" w:line="276" w:lineRule="auto"/>
        <w:ind w:firstLine="204"/>
        <w:rPr>
          <w:sz w:val="20"/>
          <w:szCs w:val="32"/>
        </w:rPr>
      </w:pPr>
      <w:r w:rsidRPr="0001692A">
        <w:rPr>
          <w:rStyle w:val="FootnoteReference"/>
          <w:sz w:val="20"/>
          <w:szCs w:val="20"/>
        </w:rPr>
        <w:footnoteRef/>
      </w:r>
      <w:r w:rsidRPr="0001692A">
        <w:rPr>
          <w:sz w:val="20"/>
          <w:szCs w:val="32"/>
        </w:rPr>
        <w:t xml:space="preserve"> </w:t>
      </w:r>
      <w:proofErr w:type="gramStart"/>
      <w:r w:rsidRPr="0001692A">
        <w:rPr>
          <w:sz w:val="20"/>
          <w:szCs w:val="32"/>
        </w:rPr>
        <w:t>Altman, Biddle and Hunter (2008) judge that “</w:t>
      </w:r>
      <w:proofErr w:type="spellStart"/>
      <w:r w:rsidRPr="0001692A">
        <w:rPr>
          <w:sz w:val="20"/>
          <w:szCs w:val="32"/>
        </w:rPr>
        <w:t>labour</w:t>
      </w:r>
      <w:proofErr w:type="spellEnd"/>
      <w:r w:rsidRPr="0001692A">
        <w:rPr>
          <w:sz w:val="20"/>
          <w:szCs w:val="32"/>
        </w:rPr>
        <w:t xml:space="preserve"> force participation rates would take over a century to converge if the trends for the period 1971-2006 were to persist.”</w:t>
      </w:r>
      <w:proofErr w:type="gramEnd"/>
      <w:r w:rsidRPr="0001692A">
        <w:rPr>
          <w:sz w:val="20"/>
          <w:szCs w:val="32"/>
        </w:rPr>
        <w:t xml:space="preserve"> Similar gaps characterize health outcomes, employment, family and community violence, incarceration and freedom from poverty (Stephens, 2010; Steering Committee for the Review of Government Service Provision, 2011).</w:t>
      </w:r>
    </w:p>
  </w:footnote>
  <w:footnote w:id="9">
    <w:p w14:paraId="656FCFB3" w14:textId="77777777" w:rsidR="00482F91" w:rsidRPr="0001692A" w:rsidRDefault="00482F91" w:rsidP="00EC5BC4">
      <w:pPr>
        <w:pStyle w:val="FootnoteText"/>
        <w:spacing w:after="120" w:line="276" w:lineRule="auto"/>
        <w:ind w:firstLine="204"/>
        <w:rPr>
          <w:sz w:val="20"/>
          <w:szCs w:val="32"/>
        </w:rPr>
      </w:pPr>
      <w:r w:rsidRPr="0001692A">
        <w:rPr>
          <w:rStyle w:val="FootnoteReference"/>
          <w:sz w:val="20"/>
          <w:szCs w:val="20"/>
        </w:rPr>
        <w:footnoteRef/>
      </w:r>
      <w:r w:rsidRPr="0001692A">
        <w:rPr>
          <w:sz w:val="20"/>
          <w:szCs w:val="32"/>
        </w:rPr>
        <w:t xml:space="preserve"> See </w:t>
      </w:r>
      <w:hyperlink r:id="rId1" w:history="1">
        <w:r w:rsidRPr="0001692A">
          <w:rPr>
            <w:rStyle w:val="Hyperlink"/>
            <w:sz w:val="20"/>
            <w:szCs w:val="20"/>
          </w:rPr>
          <w:t>http://www.nap.edu.au/results-and-reports/national-reports.html</w:t>
        </w:r>
      </w:hyperlink>
      <w:r w:rsidRPr="0001692A">
        <w:rPr>
          <w:sz w:val="20"/>
          <w:szCs w:val="32"/>
        </w:rPr>
        <w:t xml:space="preserve"> </w:t>
      </w:r>
      <w:r>
        <w:rPr>
          <w:sz w:val="20"/>
          <w:szCs w:val="32"/>
        </w:rPr>
        <w:t xml:space="preserve"> </w:t>
      </w:r>
      <w:r w:rsidRPr="0001692A">
        <w:rPr>
          <w:sz w:val="20"/>
          <w:szCs w:val="32"/>
        </w:rPr>
        <w:t>National Assessment Program</w:t>
      </w:r>
      <w:r>
        <w:rPr>
          <w:sz w:val="20"/>
          <w:szCs w:val="32"/>
        </w:rPr>
        <w:t xml:space="preserve"> (</w:t>
      </w:r>
      <w:r w:rsidRPr="0001692A">
        <w:rPr>
          <w:sz w:val="20"/>
          <w:szCs w:val="32"/>
        </w:rPr>
        <w:t xml:space="preserve">2014). </w:t>
      </w:r>
    </w:p>
  </w:footnote>
  <w:footnote w:id="10">
    <w:p w14:paraId="170C3534" w14:textId="0F3E1185" w:rsidR="00482F91" w:rsidRPr="0001692A" w:rsidRDefault="00482F91" w:rsidP="00EC5BC4">
      <w:pPr>
        <w:pStyle w:val="FootnoteText"/>
        <w:spacing w:after="120" w:line="276" w:lineRule="auto"/>
        <w:ind w:firstLine="204"/>
        <w:rPr>
          <w:sz w:val="20"/>
          <w:szCs w:val="32"/>
          <w:lang w:val="en-AU"/>
        </w:rPr>
      </w:pPr>
      <w:r w:rsidRPr="0001692A">
        <w:rPr>
          <w:rStyle w:val="FootnoteReference"/>
          <w:sz w:val="20"/>
          <w:szCs w:val="20"/>
        </w:rPr>
        <w:footnoteRef/>
      </w:r>
      <w:r w:rsidRPr="0001692A">
        <w:rPr>
          <w:sz w:val="20"/>
          <w:szCs w:val="32"/>
        </w:rPr>
        <w:t xml:space="preserve"> </w:t>
      </w:r>
      <w:proofErr w:type="gramStart"/>
      <w:r>
        <w:rPr>
          <w:sz w:val="20"/>
          <w:szCs w:val="32"/>
        </w:rPr>
        <w:t>As distinct from</w:t>
      </w:r>
      <w:r w:rsidRPr="00672B3D">
        <w:rPr>
          <w:sz w:val="20"/>
          <w:szCs w:val="32"/>
        </w:rPr>
        <w:t xml:space="preserve"> a territory</w:t>
      </w:r>
      <w:r>
        <w:rPr>
          <w:sz w:val="20"/>
          <w:szCs w:val="32"/>
        </w:rPr>
        <w:t>.</w:t>
      </w:r>
      <w:proofErr w:type="gramEnd"/>
      <w:r>
        <w:rPr>
          <w:sz w:val="20"/>
          <w:szCs w:val="32"/>
        </w:rPr>
        <w:t xml:space="preserve"> </w:t>
      </w:r>
      <w:r w:rsidRPr="0001692A">
        <w:rPr>
          <w:sz w:val="20"/>
          <w:szCs w:val="32"/>
          <w:lang w:val="en-AU"/>
        </w:rPr>
        <w:t xml:space="preserve">The Australian Defence Force (ADF) began “Operation Outreach” on 27 June 2007, deploying approximately 600 ADF personnel, 400 of them soldiers (http://www.defence.gov.au/opEx/global/opoutreach/index.htm). </w:t>
      </w:r>
    </w:p>
  </w:footnote>
  <w:footnote w:id="11">
    <w:p w14:paraId="4A61C6A2" w14:textId="6BA61E6A" w:rsidR="00482F91" w:rsidRPr="0001692A" w:rsidRDefault="00482F91" w:rsidP="00EC5BC4">
      <w:pPr>
        <w:pStyle w:val="FootnoteText"/>
        <w:spacing w:after="120" w:line="276" w:lineRule="auto"/>
        <w:ind w:firstLine="204"/>
        <w:rPr>
          <w:sz w:val="20"/>
          <w:szCs w:val="32"/>
          <w:lang w:val="en-AU"/>
        </w:rPr>
      </w:pPr>
      <w:r w:rsidRPr="0001692A">
        <w:rPr>
          <w:rStyle w:val="FootnoteReference"/>
          <w:sz w:val="20"/>
          <w:szCs w:val="20"/>
        </w:rPr>
        <w:footnoteRef/>
      </w:r>
      <w:r w:rsidRPr="0001692A">
        <w:rPr>
          <w:sz w:val="20"/>
          <w:szCs w:val="32"/>
        </w:rPr>
        <w:t xml:space="preserve"> Broome (2010) describes </w:t>
      </w:r>
      <w:proofErr w:type="spellStart"/>
      <w:r w:rsidRPr="0001692A">
        <w:rPr>
          <w:sz w:val="20"/>
          <w:szCs w:val="32"/>
        </w:rPr>
        <w:t>th</w:t>
      </w:r>
      <w:proofErr w:type="spellEnd"/>
      <w:r w:rsidRPr="0001692A">
        <w:rPr>
          <w:sz w:val="20"/>
          <w:szCs w:val="32"/>
          <w:lang w:val="en-AU"/>
        </w:rPr>
        <w:t>is</w:t>
      </w:r>
      <w:r w:rsidRPr="0001692A">
        <w:rPr>
          <w:sz w:val="20"/>
          <w:szCs w:val="32"/>
        </w:rPr>
        <w:t xml:space="preserve"> public response</w:t>
      </w:r>
      <w:r w:rsidRPr="0001692A">
        <w:rPr>
          <w:sz w:val="20"/>
          <w:szCs w:val="32"/>
          <w:lang w:val="en-AU"/>
        </w:rPr>
        <w:t>, noting</w:t>
      </w:r>
      <w:r w:rsidRPr="0001692A">
        <w:rPr>
          <w:sz w:val="20"/>
          <w:szCs w:val="32"/>
        </w:rPr>
        <w:t xml:space="preserve"> in particular an open letter against the </w:t>
      </w:r>
      <w:r w:rsidRPr="0001692A">
        <w:rPr>
          <w:sz w:val="20"/>
          <w:szCs w:val="32"/>
          <w:lang w:val="en-AU"/>
        </w:rPr>
        <w:t>I</w:t>
      </w:r>
      <w:proofErr w:type="spellStart"/>
      <w:r w:rsidRPr="0001692A">
        <w:rPr>
          <w:sz w:val="20"/>
          <w:szCs w:val="32"/>
        </w:rPr>
        <w:t>ntervention</w:t>
      </w:r>
      <w:proofErr w:type="spellEnd"/>
      <w:r w:rsidRPr="0001692A">
        <w:rPr>
          <w:sz w:val="20"/>
          <w:szCs w:val="32"/>
        </w:rPr>
        <w:t xml:space="preserve"> </w:t>
      </w:r>
      <w:r w:rsidRPr="0001692A">
        <w:rPr>
          <w:sz w:val="20"/>
          <w:szCs w:val="32"/>
          <w:lang w:val="en-AU"/>
        </w:rPr>
        <w:t>signed</w:t>
      </w:r>
      <w:r w:rsidRPr="0001692A">
        <w:rPr>
          <w:sz w:val="20"/>
          <w:szCs w:val="32"/>
        </w:rPr>
        <w:t xml:space="preserve"> by sixty Aboriginal community and church organizations</w:t>
      </w:r>
      <w:r>
        <w:rPr>
          <w:sz w:val="20"/>
          <w:szCs w:val="32"/>
        </w:rPr>
        <w:t>.</w:t>
      </w:r>
      <w:r w:rsidRPr="0001692A">
        <w:rPr>
          <w:sz w:val="20"/>
          <w:szCs w:val="32"/>
          <w:lang w:val="en-AU"/>
        </w:rPr>
        <w:t xml:space="preserve"> However, some Indigenous leaders, notably women such as Professor Marcia Langston, expressed support for the NTER, viewing it as necessary for protecting the rights of Indigenous women and children in view of the failure of the Northern Territory government to address these issues effectively. </w:t>
      </w:r>
      <w:hyperlink r:id="rId2" w:history="1">
        <w:r w:rsidRPr="0001692A">
          <w:rPr>
            <w:rStyle w:val="Hyperlink"/>
            <w:sz w:val="20"/>
            <w:szCs w:val="32"/>
            <w:lang w:val="en-AU"/>
          </w:rPr>
          <w:t>http://www.abc.net.au/news/2008-02-08/trapped-in-the-aboriginal-reality-show/1036918</w:t>
        </w:r>
      </w:hyperlink>
      <w:r w:rsidRPr="0001692A">
        <w:rPr>
          <w:sz w:val="20"/>
          <w:szCs w:val="32"/>
          <w:lang w:val="en-AU"/>
        </w:rPr>
        <w:t xml:space="preserve">. The NTER </w:t>
      </w:r>
      <w:r w:rsidRPr="0001692A">
        <w:rPr>
          <w:sz w:val="20"/>
          <w:szCs w:val="32"/>
        </w:rPr>
        <w:t>has since been replaced by the Stronger Futures Policy.</w:t>
      </w:r>
    </w:p>
  </w:footnote>
  <w:footnote w:id="12">
    <w:p w14:paraId="1F9EF04E" w14:textId="33E6383C" w:rsidR="00482F91" w:rsidRPr="00F8014A" w:rsidRDefault="00482F91" w:rsidP="00EC5BC4">
      <w:pPr>
        <w:pStyle w:val="FootnoteText"/>
        <w:spacing w:after="120" w:line="276" w:lineRule="auto"/>
        <w:ind w:firstLine="204"/>
        <w:rPr>
          <w:sz w:val="20"/>
          <w:szCs w:val="32"/>
        </w:rPr>
      </w:pPr>
      <w:r w:rsidRPr="00851ABD">
        <w:rPr>
          <w:rStyle w:val="FootnoteReference"/>
          <w:sz w:val="20"/>
          <w:szCs w:val="20"/>
        </w:rPr>
        <w:footnoteRef/>
      </w:r>
      <w:r w:rsidRPr="00851ABD">
        <w:rPr>
          <w:sz w:val="20"/>
          <w:szCs w:val="20"/>
        </w:rPr>
        <w:t xml:space="preserve"> </w:t>
      </w:r>
      <w:r w:rsidRPr="00410A9A">
        <w:rPr>
          <w:sz w:val="20"/>
          <w:szCs w:val="20"/>
        </w:rPr>
        <w:t xml:space="preserve">The 14 SEAM schools had an average annual enrolment of 3,020 students, of whom 62.5% were indigenous; </w:t>
      </w:r>
      <w:r w:rsidRPr="00CD4545">
        <w:rPr>
          <w:sz w:val="20"/>
          <w:szCs w:val="20"/>
        </w:rPr>
        <w:t>the</w:t>
      </w:r>
      <w:r w:rsidRPr="00155FDA">
        <w:rPr>
          <w:sz w:val="20"/>
          <w:szCs w:val="20"/>
        </w:rPr>
        <w:t xml:space="preserve"> 166 schools not targeted by SEAM had an average annual enrolment of 35,740 students, of whom 37.9% were Indigenous.</w:t>
      </w:r>
      <w:r w:rsidRPr="002E0617">
        <w:rPr>
          <w:sz w:val="20"/>
          <w:szCs w:val="20"/>
        </w:rPr>
        <w:t xml:space="preserve"> Attendance is calculated as the ratio of the number of student days attended to the total number of student days for the student body as a whole. </w:t>
      </w:r>
      <w:r w:rsidRPr="00E334CC">
        <w:rPr>
          <w:sz w:val="20"/>
          <w:szCs w:val="20"/>
        </w:rPr>
        <w:t>T</w:t>
      </w:r>
      <w:r w:rsidRPr="00410A9A">
        <w:rPr>
          <w:sz w:val="20"/>
          <w:szCs w:val="20"/>
        </w:rPr>
        <w:t>he publicly available data we use does not break out school attendance by Indigenous status or grade level, providing just a single number for each school</w:t>
      </w:r>
      <w:r w:rsidRPr="00CD4545">
        <w:rPr>
          <w:sz w:val="20"/>
          <w:szCs w:val="20"/>
        </w:rPr>
        <w:t>.</w:t>
      </w:r>
      <w:r w:rsidRPr="00155FDA">
        <w:rPr>
          <w:sz w:val="20"/>
          <w:szCs w:val="20"/>
        </w:rPr>
        <w:t xml:space="preserve"> We include all types of school: primary, secondary and combined; and omit a</w:t>
      </w:r>
      <w:r w:rsidRPr="007722B4">
        <w:rPr>
          <w:sz w:val="20"/>
          <w:szCs w:val="20"/>
        </w:rPr>
        <w:t xml:space="preserve"> small number of </w:t>
      </w:r>
      <w:r>
        <w:rPr>
          <w:sz w:val="20"/>
          <w:szCs w:val="20"/>
        </w:rPr>
        <w:t xml:space="preserve">comparison </w:t>
      </w:r>
      <w:r w:rsidRPr="00410A9A">
        <w:rPr>
          <w:sz w:val="20"/>
          <w:szCs w:val="20"/>
        </w:rPr>
        <w:t>schools for which data w</w:t>
      </w:r>
      <w:r>
        <w:rPr>
          <w:sz w:val="20"/>
          <w:szCs w:val="20"/>
        </w:rPr>
        <w:t>ere</w:t>
      </w:r>
      <w:r w:rsidRPr="00410A9A">
        <w:rPr>
          <w:sz w:val="20"/>
          <w:szCs w:val="20"/>
        </w:rPr>
        <w:t xml:space="preserve"> not available for all four years.</w:t>
      </w:r>
    </w:p>
  </w:footnote>
  <w:footnote w:id="13">
    <w:p w14:paraId="6EAE0624" w14:textId="4368A400" w:rsidR="00482F91" w:rsidRPr="00BC31CE" w:rsidRDefault="00482F91" w:rsidP="00EC5BC4">
      <w:pPr>
        <w:pStyle w:val="FootnoteText"/>
        <w:spacing w:after="120" w:line="276" w:lineRule="auto"/>
        <w:ind w:firstLine="204"/>
        <w:rPr>
          <w:rStyle w:val="FootnoteReference"/>
          <w:sz w:val="20"/>
          <w:szCs w:val="20"/>
          <w:vertAlign w:val="baseline"/>
        </w:rPr>
      </w:pPr>
      <w:r w:rsidRPr="00BC31CE">
        <w:rPr>
          <w:rStyle w:val="FootnoteReference"/>
          <w:sz w:val="20"/>
          <w:szCs w:val="20"/>
        </w:rPr>
        <w:footnoteRef/>
      </w:r>
      <w:r w:rsidRPr="00BC31CE">
        <w:rPr>
          <w:rStyle w:val="FootnoteReference"/>
          <w:sz w:val="20"/>
          <w:szCs w:val="20"/>
        </w:rPr>
        <w:t xml:space="preserve"> </w:t>
      </w:r>
      <w:r w:rsidRPr="00BC31CE">
        <w:rPr>
          <w:rStyle w:val="FootnoteReference"/>
          <w:sz w:val="20"/>
          <w:szCs w:val="20"/>
          <w:vertAlign w:val="baseline"/>
        </w:rPr>
        <w:t>This is less of a drawback for the Northern Territory, where Indigenous students are a large segment of the school population, and general attendance rates follow the same pattern as Indigenous participation rates in NAPLAN</w:t>
      </w:r>
      <w:r>
        <w:rPr>
          <w:sz w:val="20"/>
          <w:szCs w:val="20"/>
        </w:rPr>
        <w:t xml:space="preserve"> (</w:t>
      </w:r>
      <w:r w:rsidRPr="00BC31CE">
        <w:rPr>
          <w:rStyle w:val="FootnoteReference"/>
          <w:sz w:val="20"/>
          <w:szCs w:val="20"/>
          <w:vertAlign w:val="baseline"/>
        </w:rPr>
        <w:t>Figure 1</w:t>
      </w:r>
      <w:r>
        <w:rPr>
          <w:rStyle w:val="FootnoteReference"/>
          <w:sz w:val="20"/>
          <w:szCs w:val="20"/>
          <w:vertAlign w:val="baseline"/>
        </w:rPr>
        <w:t>,</w:t>
      </w:r>
      <w:r w:rsidRPr="00BC31CE">
        <w:rPr>
          <w:rStyle w:val="FootnoteReference"/>
          <w:sz w:val="20"/>
          <w:szCs w:val="20"/>
          <w:vertAlign w:val="baseline"/>
        </w:rPr>
        <w:t xml:space="preserve"> above</w:t>
      </w:r>
      <w:r>
        <w:rPr>
          <w:rStyle w:val="FootnoteReference"/>
          <w:sz w:val="20"/>
          <w:szCs w:val="20"/>
          <w:vertAlign w:val="baseline"/>
        </w:rPr>
        <w:t>).</w:t>
      </w:r>
      <w:r w:rsidRPr="00BC31CE">
        <w:rPr>
          <w:rStyle w:val="FootnoteReference"/>
          <w:sz w:val="20"/>
          <w:szCs w:val="20"/>
          <w:vertAlign w:val="baseline"/>
        </w:rPr>
        <w:t xml:space="preserve"> </w:t>
      </w:r>
    </w:p>
  </w:footnote>
  <w:footnote w:id="14">
    <w:p w14:paraId="276B7B3A" w14:textId="63982ED1" w:rsidR="00482F91" w:rsidRPr="0001692A" w:rsidRDefault="00482F91" w:rsidP="00EC5BC4">
      <w:pPr>
        <w:pStyle w:val="FootnoteText"/>
        <w:spacing w:after="120" w:line="276" w:lineRule="auto"/>
        <w:ind w:firstLine="204"/>
        <w:rPr>
          <w:sz w:val="20"/>
          <w:szCs w:val="32"/>
        </w:rPr>
      </w:pPr>
      <w:r w:rsidRPr="0001692A">
        <w:rPr>
          <w:rStyle w:val="FootnoteReference"/>
          <w:sz w:val="20"/>
          <w:szCs w:val="20"/>
        </w:rPr>
        <w:footnoteRef/>
      </w:r>
      <w:r w:rsidRPr="0001692A">
        <w:rPr>
          <w:sz w:val="12"/>
          <w:szCs w:val="20"/>
        </w:rPr>
        <w:t xml:space="preserve"> </w:t>
      </w:r>
      <w:r w:rsidRPr="0001692A">
        <w:rPr>
          <w:sz w:val="20"/>
          <w:szCs w:val="32"/>
        </w:rPr>
        <w:t>We also estimated an unweighted regression with very similar results. The interaction coefficients for 2009-2012 were respectively 0.197, 0.100, 0.115 and 0.084, with slightly larger 95% confidence intervals ranging in size from .07 to .09.</w:t>
      </w:r>
    </w:p>
  </w:footnote>
  <w:footnote w:id="15">
    <w:p w14:paraId="3813A834" w14:textId="7EEDFA9C" w:rsidR="00482F91" w:rsidRPr="00566F89" w:rsidRDefault="00482F91" w:rsidP="00EC5BC4">
      <w:pPr>
        <w:pStyle w:val="FootnoteText"/>
        <w:spacing w:after="120" w:line="276" w:lineRule="auto"/>
        <w:ind w:firstLine="204"/>
        <w:rPr>
          <w:sz w:val="20"/>
          <w:szCs w:val="32"/>
          <w:lang w:val="en-AU"/>
        </w:rPr>
      </w:pPr>
      <w:r w:rsidRPr="00566F89">
        <w:rPr>
          <w:rStyle w:val="FootnoteReference"/>
          <w:sz w:val="20"/>
          <w:szCs w:val="20"/>
        </w:rPr>
        <w:footnoteRef/>
      </w:r>
      <w:r w:rsidRPr="00566F89">
        <w:rPr>
          <w:sz w:val="12"/>
          <w:szCs w:val="20"/>
        </w:rPr>
        <w:t xml:space="preserve"> </w:t>
      </w:r>
      <w:r>
        <w:rPr>
          <w:sz w:val="20"/>
          <w:szCs w:val="32"/>
        </w:rPr>
        <w:t>Of course, th</w:t>
      </w:r>
      <w:r w:rsidRPr="00196DFC">
        <w:rPr>
          <w:sz w:val="20"/>
          <w:szCs w:val="32"/>
        </w:rPr>
        <w:t xml:space="preserve">e </w:t>
      </w:r>
      <w:r>
        <w:rPr>
          <w:sz w:val="20"/>
          <w:szCs w:val="32"/>
        </w:rPr>
        <w:t xml:space="preserve">subsequent </w:t>
      </w:r>
      <w:r w:rsidRPr="00196DFC">
        <w:rPr>
          <w:sz w:val="20"/>
          <w:szCs w:val="32"/>
        </w:rPr>
        <w:t>decline in participation</w:t>
      </w:r>
      <w:r>
        <w:rPr>
          <w:sz w:val="20"/>
          <w:szCs w:val="32"/>
        </w:rPr>
        <w:t xml:space="preserve"> rates</w:t>
      </w:r>
      <w:r w:rsidRPr="00196DFC">
        <w:rPr>
          <w:sz w:val="20"/>
          <w:szCs w:val="32"/>
        </w:rPr>
        <w:t>, after 2009, cannot be the continuation of a trend</w:t>
      </w:r>
      <w:r>
        <w:rPr>
          <w:sz w:val="20"/>
          <w:szCs w:val="32"/>
        </w:rPr>
        <w:t xml:space="preserve">. </w:t>
      </w:r>
    </w:p>
  </w:footnote>
  <w:footnote w:id="16">
    <w:p w14:paraId="7FFD5F02" w14:textId="1A830BB5" w:rsidR="00482F91" w:rsidRPr="003F54AD" w:rsidRDefault="00482F91" w:rsidP="003F54AD">
      <w:pPr>
        <w:pStyle w:val="FootnoteText"/>
        <w:rPr>
          <w:sz w:val="20"/>
          <w:szCs w:val="20"/>
        </w:rPr>
      </w:pPr>
      <w:r w:rsidRPr="003F54AD">
        <w:rPr>
          <w:rStyle w:val="FootnoteReference"/>
          <w:sz w:val="20"/>
          <w:szCs w:val="20"/>
        </w:rPr>
        <w:footnoteRef/>
      </w:r>
      <w:r w:rsidRPr="003F54AD">
        <w:rPr>
          <w:sz w:val="20"/>
          <w:szCs w:val="20"/>
        </w:rPr>
        <w:t xml:space="preserve"> </w:t>
      </w:r>
      <w:r>
        <w:rPr>
          <w:sz w:val="20"/>
          <w:szCs w:val="20"/>
        </w:rPr>
        <w:t>I</w:t>
      </w:r>
      <w:r w:rsidRPr="003F54AD">
        <w:rPr>
          <w:sz w:val="20"/>
          <w:szCs w:val="20"/>
        </w:rPr>
        <w:t>f anything, the trend in Indigenous student participation in the N</w:t>
      </w:r>
      <w:r>
        <w:rPr>
          <w:sz w:val="20"/>
          <w:szCs w:val="20"/>
        </w:rPr>
        <w:t xml:space="preserve">orthern </w:t>
      </w:r>
      <w:r w:rsidRPr="003F54AD">
        <w:rPr>
          <w:sz w:val="20"/>
          <w:szCs w:val="20"/>
        </w:rPr>
        <w:t>T</w:t>
      </w:r>
      <w:r>
        <w:rPr>
          <w:sz w:val="20"/>
          <w:szCs w:val="20"/>
        </w:rPr>
        <w:t>erritory may have been on a declining path before</w:t>
      </w:r>
      <w:r w:rsidRPr="003F54AD">
        <w:rPr>
          <w:sz w:val="20"/>
          <w:szCs w:val="20"/>
        </w:rPr>
        <w:t xml:space="preserve"> 2008</w:t>
      </w:r>
      <w:r>
        <w:rPr>
          <w:sz w:val="20"/>
          <w:szCs w:val="20"/>
        </w:rPr>
        <w:t>,</w:t>
      </w:r>
      <w:r w:rsidRPr="003F54AD">
        <w:rPr>
          <w:sz w:val="20"/>
          <w:szCs w:val="20"/>
        </w:rPr>
        <w:t xml:space="preserve"> relative to other states and territories. </w:t>
      </w:r>
      <w:r>
        <w:rPr>
          <w:sz w:val="20"/>
          <w:szCs w:val="20"/>
        </w:rPr>
        <w:t>If this was the case it would imply that our regressions</w:t>
      </w:r>
      <w:r w:rsidRPr="003F54AD">
        <w:rPr>
          <w:sz w:val="20"/>
          <w:szCs w:val="20"/>
        </w:rPr>
        <w:t xml:space="preserve"> underestimate the </w:t>
      </w:r>
      <w:r>
        <w:rPr>
          <w:sz w:val="20"/>
          <w:szCs w:val="20"/>
        </w:rPr>
        <w:t xml:space="preserve">impact of the threat to withhold welfare payments from </w:t>
      </w:r>
      <w:r w:rsidRPr="003F54AD">
        <w:rPr>
          <w:sz w:val="20"/>
          <w:szCs w:val="20"/>
        </w:rPr>
        <w:t>Indigenous families in the N</w:t>
      </w:r>
      <w:r>
        <w:rPr>
          <w:sz w:val="20"/>
          <w:szCs w:val="20"/>
        </w:rPr>
        <w:t xml:space="preserve">orthern Territory on </w:t>
      </w:r>
      <w:r w:rsidRPr="003F54AD">
        <w:rPr>
          <w:sz w:val="20"/>
          <w:szCs w:val="20"/>
        </w:rPr>
        <w:t>participation rates.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DC8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FE49FC"/>
    <w:lvl w:ilvl="0">
      <w:start w:val="1"/>
      <w:numFmt w:val="decimal"/>
      <w:lvlText w:val="%1."/>
      <w:lvlJc w:val="left"/>
      <w:pPr>
        <w:tabs>
          <w:tab w:val="num" w:pos="1800"/>
        </w:tabs>
        <w:ind w:left="1800" w:hanging="360"/>
      </w:pPr>
    </w:lvl>
  </w:abstractNum>
  <w:abstractNum w:abstractNumId="2">
    <w:nsid w:val="FFFFFF7D"/>
    <w:multiLevelType w:val="singleLevel"/>
    <w:tmpl w:val="08064BDA"/>
    <w:lvl w:ilvl="0">
      <w:start w:val="1"/>
      <w:numFmt w:val="decimal"/>
      <w:lvlText w:val="%1."/>
      <w:lvlJc w:val="left"/>
      <w:pPr>
        <w:tabs>
          <w:tab w:val="num" w:pos="1440"/>
        </w:tabs>
        <w:ind w:left="1440" w:hanging="360"/>
      </w:pPr>
    </w:lvl>
  </w:abstractNum>
  <w:abstractNum w:abstractNumId="3">
    <w:nsid w:val="FFFFFF7E"/>
    <w:multiLevelType w:val="singleLevel"/>
    <w:tmpl w:val="E9840BF4"/>
    <w:lvl w:ilvl="0">
      <w:start w:val="1"/>
      <w:numFmt w:val="decimal"/>
      <w:lvlText w:val="%1."/>
      <w:lvlJc w:val="left"/>
      <w:pPr>
        <w:tabs>
          <w:tab w:val="num" w:pos="1080"/>
        </w:tabs>
        <w:ind w:left="1080" w:hanging="360"/>
      </w:pPr>
    </w:lvl>
  </w:abstractNum>
  <w:abstractNum w:abstractNumId="4">
    <w:nsid w:val="FFFFFF7F"/>
    <w:multiLevelType w:val="singleLevel"/>
    <w:tmpl w:val="2BDE333C"/>
    <w:lvl w:ilvl="0">
      <w:start w:val="1"/>
      <w:numFmt w:val="decimal"/>
      <w:lvlText w:val="%1."/>
      <w:lvlJc w:val="left"/>
      <w:pPr>
        <w:tabs>
          <w:tab w:val="num" w:pos="720"/>
        </w:tabs>
        <w:ind w:left="720" w:hanging="360"/>
      </w:pPr>
    </w:lvl>
  </w:abstractNum>
  <w:abstractNum w:abstractNumId="5">
    <w:nsid w:val="FFFFFF80"/>
    <w:multiLevelType w:val="singleLevel"/>
    <w:tmpl w:val="676ADA3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A40BF7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788D71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9867A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CFA3A42"/>
    <w:lvl w:ilvl="0">
      <w:start w:val="1"/>
      <w:numFmt w:val="lowerRoman"/>
      <w:lvlText w:val="(%1)"/>
      <w:lvlJc w:val="right"/>
      <w:pPr>
        <w:ind w:left="835" w:hanging="360"/>
      </w:pPr>
      <w:rPr>
        <w:rFonts w:hint="default"/>
      </w:rPr>
    </w:lvl>
  </w:abstractNum>
  <w:abstractNum w:abstractNumId="10">
    <w:nsid w:val="FFFFFF89"/>
    <w:multiLevelType w:val="singleLevel"/>
    <w:tmpl w:val="F0C0ACD4"/>
    <w:lvl w:ilvl="0">
      <w:start w:val="1"/>
      <w:numFmt w:val="bullet"/>
      <w:lvlText w:val=""/>
      <w:lvlJc w:val="left"/>
      <w:pPr>
        <w:tabs>
          <w:tab w:val="num" w:pos="360"/>
        </w:tabs>
        <w:ind w:left="360" w:hanging="360"/>
      </w:pPr>
      <w:rPr>
        <w:rFonts w:ascii="Symbol" w:hAnsi="Symbol" w:hint="default"/>
      </w:rPr>
    </w:lvl>
  </w:abstractNum>
  <w:abstractNum w:abstractNumId="11">
    <w:nsid w:val="14761B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6D7F6C"/>
    <w:multiLevelType w:val="hybridMultilevel"/>
    <w:tmpl w:val="42704DBE"/>
    <w:lvl w:ilvl="0" w:tplc="F5D20E9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426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FB36D8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3F67049"/>
    <w:multiLevelType w:val="hybridMultilevel"/>
    <w:tmpl w:val="19F2DFCA"/>
    <w:lvl w:ilvl="0" w:tplc="3918BB4E">
      <w:start w:val="1"/>
      <w:numFmt w:val="lowerRoman"/>
      <w:pStyle w:val="ListNumber"/>
      <w:lvlText w:val="(%1)"/>
      <w:lvlJc w:val="left"/>
      <w:pPr>
        <w:tabs>
          <w:tab w:val="num" w:pos="1195"/>
        </w:tabs>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6">
    <w:nsid w:val="59C05D32"/>
    <w:multiLevelType w:val="hybridMultilevel"/>
    <w:tmpl w:val="0BAC0468"/>
    <w:lvl w:ilvl="0" w:tplc="D4509454">
      <w:start w:val="1"/>
      <w:numFmt w:val="bullet"/>
      <w:pStyle w:val="List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Wingdings"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Wingdings"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Wingdings" w:hint="default"/>
      </w:rPr>
    </w:lvl>
    <w:lvl w:ilvl="8" w:tplc="04090005" w:tentative="1">
      <w:start w:val="1"/>
      <w:numFmt w:val="bullet"/>
      <w:lvlText w:val=""/>
      <w:lvlJc w:val="left"/>
      <w:pPr>
        <w:ind w:left="6883" w:hanging="360"/>
      </w:pPr>
      <w:rPr>
        <w:rFonts w:ascii="Wingdings" w:hAnsi="Wingdings" w:hint="default"/>
      </w:rPr>
    </w:lvl>
  </w:abstractNum>
  <w:abstractNum w:abstractNumId="17">
    <w:nsid w:val="5A3978EB"/>
    <w:multiLevelType w:val="multilevel"/>
    <w:tmpl w:val="0DD2A90E"/>
    <w:lvl w:ilvl="0">
      <w:start w:val="1"/>
      <w:numFmt w:val="lowerRoman"/>
      <w:lvlText w:val="(%1)"/>
      <w:lvlJc w:val="left"/>
      <w:pPr>
        <w:ind w:left="1195" w:hanging="360"/>
      </w:pPr>
      <w:rPr>
        <w:rFonts w:hint="default"/>
      </w:rPr>
    </w:lvl>
    <w:lvl w:ilvl="1">
      <w:start w:val="1"/>
      <w:numFmt w:val="lowerLetter"/>
      <w:lvlText w:val="%2."/>
      <w:lvlJc w:val="left"/>
      <w:pPr>
        <w:ind w:left="1915" w:hanging="360"/>
      </w:pPr>
    </w:lvl>
    <w:lvl w:ilvl="2">
      <w:start w:val="1"/>
      <w:numFmt w:val="lowerRoman"/>
      <w:lvlText w:val="%3."/>
      <w:lvlJc w:val="right"/>
      <w:pPr>
        <w:ind w:left="2635" w:hanging="180"/>
      </w:pPr>
    </w:lvl>
    <w:lvl w:ilvl="3">
      <w:start w:val="1"/>
      <w:numFmt w:val="decimal"/>
      <w:lvlText w:val="%4."/>
      <w:lvlJc w:val="left"/>
      <w:pPr>
        <w:ind w:left="3355" w:hanging="360"/>
      </w:pPr>
    </w:lvl>
    <w:lvl w:ilvl="4">
      <w:start w:val="1"/>
      <w:numFmt w:val="lowerLetter"/>
      <w:lvlText w:val="%5."/>
      <w:lvlJc w:val="left"/>
      <w:pPr>
        <w:ind w:left="4075" w:hanging="360"/>
      </w:pPr>
    </w:lvl>
    <w:lvl w:ilvl="5">
      <w:start w:val="1"/>
      <w:numFmt w:val="lowerRoman"/>
      <w:lvlText w:val="%6."/>
      <w:lvlJc w:val="right"/>
      <w:pPr>
        <w:ind w:left="4795" w:hanging="180"/>
      </w:pPr>
    </w:lvl>
    <w:lvl w:ilvl="6">
      <w:start w:val="1"/>
      <w:numFmt w:val="decimal"/>
      <w:lvlText w:val="%7."/>
      <w:lvlJc w:val="left"/>
      <w:pPr>
        <w:ind w:left="5515" w:hanging="360"/>
      </w:pPr>
    </w:lvl>
    <w:lvl w:ilvl="7">
      <w:start w:val="1"/>
      <w:numFmt w:val="lowerLetter"/>
      <w:lvlText w:val="%8."/>
      <w:lvlJc w:val="left"/>
      <w:pPr>
        <w:ind w:left="6235" w:hanging="360"/>
      </w:pPr>
    </w:lvl>
    <w:lvl w:ilvl="8">
      <w:start w:val="1"/>
      <w:numFmt w:val="lowerRoman"/>
      <w:lvlText w:val="%9."/>
      <w:lvlJc w:val="right"/>
      <w:pPr>
        <w:ind w:left="6955" w:hanging="180"/>
      </w:pPr>
    </w:lvl>
  </w:abstractNum>
  <w:abstractNum w:abstractNumId="18">
    <w:nsid w:val="5B4245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C054DAC"/>
    <w:multiLevelType w:val="hybridMultilevel"/>
    <w:tmpl w:val="B6AC5DB4"/>
    <w:lvl w:ilvl="0" w:tplc="3A78685A">
      <w:start w:val="1"/>
      <w:numFmt w:val="bullet"/>
      <w:lvlText w:val=""/>
      <w:lvlJc w:val="left"/>
      <w:pPr>
        <w:tabs>
          <w:tab w:val="num" w:pos="202"/>
        </w:tabs>
        <w:ind w:left="202" w:hanging="20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591B81"/>
    <w:multiLevelType w:val="hybridMultilevel"/>
    <w:tmpl w:val="9234422A"/>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19"/>
  </w:num>
  <w:num w:numId="2">
    <w:abstractNumId w:val="12"/>
  </w:num>
  <w:num w:numId="3">
    <w:abstractNumId w:val="10"/>
  </w:num>
  <w:num w:numId="4">
    <w:abstractNumId w:val="7"/>
  </w:num>
  <w:num w:numId="5">
    <w:abstractNumId w:val="8"/>
  </w:num>
  <w:num w:numId="6">
    <w:abstractNumId w:val="6"/>
  </w:num>
  <w:num w:numId="7">
    <w:abstractNumId w:val="5"/>
  </w:num>
  <w:num w:numId="8">
    <w:abstractNumId w:val="4"/>
  </w:num>
  <w:num w:numId="9">
    <w:abstractNumId w:val="3"/>
  </w:num>
  <w:num w:numId="10">
    <w:abstractNumId w:val="2"/>
  </w:num>
  <w:num w:numId="11">
    <w:abstractNumId w:val="1"/>
  </w:num>
  <w:num w:numId="12">
    <w:abstractNumId w:val="9"/>
  </w:num>
  <w:num w:numId="13">
    <w:abstractNumId w:val="0"/>
  </w:num>
  <w:num w:numId="14">
    <w:abstractNumId w:val="18"/>
  </w:num>
  <w:num w:numId="15">
    <w:abstractNumId w:val="13"/>
  </w:num>
  <w:num w:numId="16">
    <w:abstractNumId w:val="14"/>
  </w:num>
  <w:num w:numId="17">
    <w:abstractNumId w:val="16"/>
  </w:num>
  <w:num w:numId="18">
    <w:abstractNumId w:val="15"/>
  </w:num>
  <w:num w:numId="19">
    <w:abstractNumId w:val="11"/>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A4"/>
    <w:rsid w:val="00015EA4"/>
    <w:rsid w:val="0001692A"/>
    <w:rsid w:val="00022A0A"/>
    <w:rsid w:val="00024696"/>
    <w:rsid w:val="00034753"/>
    <w:rsid w:val="00040F63"/>
    <w:rsid w:val="00053890"/>
    <w:rsid w:val="00070F53"/>
    <w:rsid w:val="000747B3"/>
    <w:rsid w:val="00075750"/>
    <w:rsid w:val="0008216D"/>
    <w:rsid w:val="000A1337"/>
    <w:rsid w:val="000B19E2"/>
    <w:rsid w:val="000B7B7E"/>
    <w:rsid w:val="000D4AAF"/>
    <w:rsid w:val="00113AA4"/>
    <w:rsid w:val="00146EE6"/>
    <w:rsid w:val="00155FDA"/>
    <w:rsid w:val="001705C2"/>
    <w:rsid w:val="00177E3B"/>
    <w:rsid w:val="001812B2"/>
    <w:rsid w:val="00196DFC"/>
    <w:rsid w:val="001D1841"/>
    <w:rsid w:val="001D2E46"/>
    <w:rsid w:val="001F18B2"/>
    <w:rsid w:val="001F3A4D"/>
    <w:rsid w:val="00203471"/>
    <w:rsid w:val="002055C0"/>
    <w:rsid w:val="00214977"/>
    <w:rsid w:val="0022323A"/>
    <w:rsid w:val="00230AE6"/>
    <w:rsid w:val="00232645"/>
    <w:rsid w:val="00234F35"/>
    <w:rsid w:val="002456BE"/>
    <w:rsid w:val="00267DB1"/>
    <w:rsid w:val="0027159A"/>
    <w:rsid w:val="00273FE2"/>
    <w:rsid w:val="0028474B"/>
    <w:rsid w:val="0029492A"/>
    <w:rsid w:val="002C1D5C"/>
    <w:rsid w:val="002D2E8A"/>
    <w:rsid w:val="002E0617"/>
    <w:rsid w:val="002E429B"/>
    <w:rsid w:val="002E4D22"/>
    <w:rsid w:val="002F0BFC"/>
    <w:rsid w:val="002F1B26"/>
    <w:rsid w:val="003139D2"/>
    <w:rsid w:val="003143AA"/>
    <w:rsid w:val="003155FD"/>
    <w:rsid w:val="003233B1"/>
    <w:rsid w:val="00325FF4"/>
    <w:rsid w:val="00333832"/>
    <w:rsid w:val="00354E29"/>
    <w:rsid w:val="00365102"/>
    <w:rsid w:val="00370EF3"/>
    <w:rsid w:val="00372FF3"/>
    <w:rsid w:val="00376D2D"/>
    <w:rsid w:val="0039123E"/>
    <w:rsid w:val="003A4396"/>
    <w:rsid w:val="003A7E25"/>
    <w:rsid w:val="003B0793"/>
    <w:rsid w:val="003B0DC6"/>
    <w:rsid w:val="003C058D"/>
    <w:rsid w:val="003C73FC"/>
    <w:rsid w:val="003D2F6A"/>
    <w:rsid w:val="003F54AD"/>
    <w:rsid w:val="00410A9A"/>
    <w:rsid w:val="00412A0B"/>
    <w:rsid w:val="004160D9"/>
    <w:rsid w:val="00422815"/>
    <w:rsid w:val="00426758"/>
    <w:rsid w:val="00450A5D"/>
    <w:rsid w:val="00463C9D"/>
    <w:rsid w:val="00480A0A"/>
    <w:rsid w:val="00482F91"/>
    <w:rsid w:val="0048708D"/>
    <w:rsid w:val="004918D6"/>
    <w:rsid w:val="00492CBC"/>
    <w:rsid w:val="004A1C99"/>
    <w:rsid w:val="004B4956"/>
    <w:rsid w:val="004E1D1F"/>
    <w:rsid w:val="004E37B4"/>
    <w:rsid w:val="004E3B63"/>
    <w:rsid w:val="004E4D47"/>
    <w:rsid w:val="004F0DD2"/>
    <w:rsid w:val="004F6A7B"/>
    <w:rsid w:val="004F71FE"/>
    <w:rsid w:val="005175AC"/>
    <w:rsid w:val="00520C49"/>
    <w:rsid w:val="00525DC4"/>
    <w:rsid w:val="00531414"/>
    <w:rsid w:val="00536941"/>
    <w:rsid w:val="00550D69"/>
    <w:rsid w:val="005636B7"/>
    <w:rsid w:val="00566F89"/>
    <w:rsid w:val="00571D15"/>
    <w:rsid w:val="00576F51"/>
    <w:rsid w:val="00580BDA"/>
    <w:rsid w:val="00584455"/>
    <w:rsid w:val="00587715"/>
    <w:rsid w:val="005E46ED"/>
    <w:rsid w:val="005E6070"/>
    <w:rsid w:val="005F4511"/>
    <w:rsid w:val="006102C2"/>
    <w:rsid w:val="0061119E"/>
    <w:rsid w:val="00613044"/>
    <w:rsid w:val="006366B7"/>
    <w:rsid w:val="0065536D"/>
    <w:rsid w:val="00672B3D"/>
    <w:rsid w:val="0067428A"/>
    <w:rsid w:val="00682E28"/>
    <w:rsid w:val="00687543"/>
    <w:rsid w:val="0069458C"/>
    <w:rsid w:val="00697374"/>
    <w:rsid w:val="006B261B"/>
    <w:rsid w:val="006B3FB4"/>
    <w:rsid w:val="006C109A"/>
    <w:rsid w:val="006C5E85"/>
    <w:rsid w:val="006C78E9"/>
    <w:rsid w:val="006E6F46"/>
    <w:rsid w:val="006E7286"/>
    <w:rsid w:val="006F2831"/>
    <w:rsid w:val="006F4AC0"/>
    <w:rsid w:val="00716476"/>
    <w:rsid w:val="007235A4"/>
    <w:rsid w:val="00724C88"/>
    <w:rsid w:val="007277E2"/>
    <w:rsid w:val="0074582D"/>
    <w:rsid w:val="007520AE"/>
    <w:rsid w:val="0075299C"/>
    <w:rsid w:val="00755DB6"/>
    <w:rsid w:val="0075784B"/>
    <w:rsid w:val="00770BB5"/>
    <w:rsid w:val="007722B4"/>
    <w:rsid w:val="00776B71"/>
    <w:rsid w:val="00777C4B"/>
    <w:rsid w:val="00793945"/>
    <w:rsid w:val="007A37C1"/>
    <w:rsid w:val="007A6EBC"/>
    <w:rsid w:val="007B44DA"/>
    <w:rsid w:val="007B6699"/>
    <w:rsid w:val="007C0B2F"/>
    <w:rsid w:val="007C2057"/>
    <w:rsid w:val="007C5019"/>
    <w:rsid w:val="007C67F9"/>
    <w:rsid w:val="007C7F7C"/>
    <w:rsid w:val="007D5698"/>
    <w:rsid w:val="007D5C64"/>
    <w:rsid w:val="007E3D79"/>
    <w:rsid w:val="007F79D5"/>
    <w:rsid w:val="0080347B"/>
    <w:rsid w:val="00814B1A"/>
    <w:rsid w:val="00824A50"/>
    <w:rsid w:val="008440F4"/>
    <w:rsid w:val="00851ABD"/>
    <w:rsid w:val="008657CA"/>
    <w:rsid w:val="008763E8"/>
    <w:rsid w:val="00886E83"/>
    <w:rsid w:val="008A7152"/>
    <w:rsid w:val="008B5C87"/>
    <w:rsid w:val="008B7F88"/>
    <w:rsid w:val="008F0DC9"/>
    <w:rsid w:val="00902352"/>
    <w:rsid w:val="0091411F"/>
    <w:rsid w:val="0092764A"/>
    <w:rsid w:val="009500CB"/>
    <w:rsid w:val="00967E82"/>
    <w:rsid w:val="00975C67"/>
    <w:rsid w:val="00990924"/>
    <w:rsid w:val="00993636"/>
    <w:rsid w:val="00994621"/>
    <w:rsid w:val="009953A1"/>
    <w:rsid w:val="009A4F84"/>
    <w:rsid w:val="009A70D7"/>
    <w:rsid w:val="009B40B2"/>
    <w:rsid w:val="009B7294"/>
    <w:rsid w:val="009C088E"/>
    <w:rsid w:val="009E0243"/>
    <w:rsid w:val="009E328F"/>
    <w:rsid w:val="009F52EA"/>
    <w:rsid w:val="00A037A7"/>
    <w:rsid w:val="00A122E1"/>
    <w:rsid w:val="00A3623E"/>
    <w:rsid w:val="00A46C3C"/>
    <w:rsid w:val="00A65C06"/>
    <w:rsid w:val="00A728E9"/>
    <w:rsid w:val="00A8236B"/>
    <w:rsid w:val="00A84478"/>
    <w:rsid w:val="00A85E85"/>
    <w:rsid w:val="00A90DD0"/>
    <w:rsid w:val="00A91414"/>
    <w:rsid w:val="00A96A58"/>
    <w:rsid w:val="00A970B0"/>
    <w:rsid w:val="00AB18D3"/>
    <w:rsid w:val="00AC7DA7"/>
    <w:rsid w:val="00AD79BA"/>
    <w:rsid w:val="00AE096F"/>
    <w:rsid w:val="00AF23AE"/>
    <w:rsid w:val="00AF262C"/>
    <w:rsid w:val="00B15494"/>
    <w:rsid w:val="00B21C2E"/>
    <w:rsid w:val="00B364CA"/>
    <w:rsid w:val="00B44DF1"/>
    <w:rsid w:val="00B45689"/>
    <w:rsid w:val="00B7572F"/>
    <w:rsid w:val="00B76E8E"/>
    <w:rsid w:val="00B86CC9"/>
    <w:rsid w:val="00BA2ACB"/>
    <w:rsid w:val="00BC31CE"/>
    <w:rsid w:val="00BE5188"/>
    <w:rsid w:val="00BF16A7"/>
    <w:rsid w:val="00BF62D6"/>
    <w:rsid w:val="00C14F65"/>
    <w:rsid w:val="00C20EA6"/>
    <w:rsid w:val="00C31DCB"/>
    <w:rsid w:val="00C3659B"/>
    <w:rsid w:val="00C65C72"/>
    <w:rsid w:val="00C848C2"/>
    <w:rsid w:val="00CA361F"/>
    <w:rsid w:val="00CA3F45"/>
    <w:rsid w:val="00CB2201"/>
    <w:rsid w:val="00CB513D"/>
    <w:rsid w:val="00CD4545"/>
    <w:rsid w:val="00CF1EFF"/>
    <w:rsid w:val="00CF6E21"/>
    <w:rsid w:val="00D06289"/>
    <w:rsid w:val="00D1252D"/>
    <w:rsid w:val="00D23CBA"/>
    <w:rsid w:val="00D425A0"/>
    <w:rsid w:val="00D45A2B"/>
    <w:rsid w:val="00D55953"/>
    <w:rsid w:val="00D64FFA"/>
    <w:rsid w:val="00D72496"/>
    <w:rsid w:val="00D84A46"/>
    <w:rsid w:val="00D87F7B"/>
    <w:rsid w:val="00D930D9"/>
    <w:rsid w:val="00DA1034"/>
    <w:rsid w:val="00DC1EBA"/>
    <w:rsid w:val="00DE26D5"/>
    <w:rsid w:val="00E01C48"/>
    <w:rsid w:val="00E06617"/>
    <w:rsid w:val="00E149A8"/>
    <w:rsid w:val="00E27A79"/>
    <w:rsid w:val="00E334CC"/>
    <w:rsid w:val="00E35CC7"/>
    <w:rsid w:val="00E35E32"/>
    <w:rsid w:val="00E457EC"/>
    <w:rsid w:val="00E46475"/>
    <w:rsid w:val="00E65DAD"/>
    <w:rsid w:val="00E7016A"/>
    <w:rsid w:val="00E7212B"/>
    <w:rsid w:val="00E8318E"/>
    <w:rsid w:val="00E909FE"/>
    <w:rsid w:val="00E97EBD"/>
    <w:rsid w:val="00EA4E8E"/>
    <w:rsid w:val="00EC5BC4"/>
    <w:rsid w:val="00EC68E7"/>
    <w:rsid w:val="00ED3CE8"/>
    <w:rsid w:val="00EE5FBD"/>
    <w:rsid w:val="00EF0BFA"/>
    <w:rsid w:val="00F4195F"/>
    <w:rsid w:val="00F4204E"/>
    <w:rsid w:val="00F50D57"/>
    <w:rsid w:val="00F51A5B"/>
    <w:rsid w:val="00F56224"/>
    <w:rsid w:val="00F60631"/>
    <w:rsid w:val="00F62456"/>
    <w:rsid w:val="00F659B0"/>
    <w:rsid w:val="00F73663"/>
    <w:rsid w:val="00F8014A"/>
    <w:rsid w:val="00F836FB"/>
    <w:rsid w:val="00F83B28"/>
    <w:rsid w:val="00F84C7B"/>
    <w:rsid w:val="00F93FDF"/>
    <w:rsid w:val="00FA6B76"/>
    <w:rsid w:val="00FC3EE8"/>
    <w:rsid w:val="00FC4DFE"/>
  </w:rsids>
  <m:mathPr>
    <m:mathFont m:val="Cambria Math"/>
    <m:brkBin m:val="before"/>
    <m:brkBinSub m:val="--"/>
    <m:smallFrac m:val="0"/>
    <m:dispDef m:val="0"/>
    <m:lMargin m:val="0"/>
    <m:rMargin m:val="0"/>
    <m:defJc m:val="centerGroup"/>
    <m:wrapRight/>
    <m:intLim m:val="subSup"/>
    <m:naryLim m:val="subSup"/>
  </m:mathPr>
  <w:themeFontLang w:val="en-AU"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8D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Calisto MT" w:hAnsi="Calisto MT" w:cs="Times New Roman"/>
        <w:sz w:val="24"/>
        <w:szCs w:val="24"/>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Number" w:semiHidden="0"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unhideWhenUsed="0"/>
    <w:lsdException w:name="Date" w:uiPriority="99" w:unhideWhenUsed="0"/>
    <w:lsdException w:name="Body Text First Indent" w:uiPriority="99" w:unhideWhenUsed="0"/>
    <w:lsdException w:name="Body Text First Indent 2" w:uiPriority="99"/>
    <w:lsdException w:name="Note Heading" w:uiPriority="99"/>
    <w:lsdException w:name="Body Text 2" w:uiPriority="98"/>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1" w:unhideWhenUsed="0" w:qFormat="1"/>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Table Grid" w:semiHidden="0" w:unhideWhenUsed="0"/>
    <w:lsdException w:name="Placeholder Text" w:uiPriority="99"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99"/>
    <w:lsdException w:name="TOC Heading" w:uiPriority="99" w:qFormat="1"/>
  </w:latentStyles>
  <w:style w:type="paragraph" w:default="1" w:styleId="Normal">
    <w:name w:val="Normal"/>
    <w:qFormat/>
    <w:rsid w:val="00CD4545"/>
    <w:rPr>
      <w:rFonts w:ascii="Times New Roman" w:hAnsi="Times New Roman"/>
      <w:lang w:bidi="ar-SA"/>
    </w:rPr>
  </w:style>
  <w:style w:type="paragraph" w:styleId="Heading1">
    <w:name w:val="heading 1"/>
    <w:next w:val="Normal"/>
    <w:link w:val="Heading1Char"/>
    <w:qFormat/>
    <w:rsid w:val="00BD4A31"/>
    <w:pPr>
      <w:keepNext/>
      <w:keepLines/>
      <w:spacing w:before="260" w:after="260" w:line="360" w:lineRule="auto"/>
      <w:contextualSpacing/>
      <w:jc w:val="center"/>
      <w:outlineLvl w:val="0"/>
    </w:pPr>
    <w:rPr>
      <w:rFonts w:ascii="Times New Roman" w:eastAsia="Times New Roman" w:hAnsi="Times New Roman"/>
      <w:b/>
      <w:bCs/>
      <w:color w:val="000000"/>
      <w:szCs w:val="32"/>
      <w:lang w:bidi="ar-SA"/>
    </w:rPr>
  </w:style>
  <w:style w:type="paragraph" w:styleId="Heading2">
    <w:name w:val="heading 2"/>
    <w:next w:val="Normal"/>
    <w:link w:val="Heading2Char"/>
    <w:qFormat/>
    <w:rsid w:val="00BD4A31"/>
    <w:pPr>
      <w:keepNext/>
      <w:keepLines/>
      <w:spacing w:before="260" w:after="260" w:line="360" w:lineRule="auto"/>
      <w:contextualSpacing/>
      <w:jc w:val="center"/>
      <w:outlineLvl w:val="1"/>
    </w:pPr>
    <w:rPr>
      <w:rFonts w:ascii="Times New Roman" w:eastAsia="Times New Roman" w:hAnsi="Times New Roman"/>
      <w:bCs/>
      <w:i/>
      <w:color w:val="000000"/>
      <w:szCs w:val="26"/>
      <w:lang w:bidi="ar-SA"/>
    </w:rPr>
  </w:style>
  <w:style w:type="paragraph" w:styleId="Heading3">
    <w:name w:val="heading 3"/>
    <w:basedOn w:val="Normal"/>
    <w:next w:val="Normal"/>
    <w:link w:val="Heading3Char"/>
    <w:qFormat/>
    <w:rsid w:val="00314302"/>
    <w:pPr>
      <w:spacing w:before="260" w:line="360" w:lineRule="auto"/>
      <w:jc w:val="both"/>
      <w:outlineLvl w:val="2"/>
    </w:pPr>
    <w:rPr>
      <w:rFonts w:eastAsia="Times New Roman"/>
      <w:bCs/>
    </w:rPr>
  </w:style>
  <w:style w:type="paragraph" w:styleId="Heading4">
    <w:name w:val="heading 4"/>
    <w:basedOn w:val="Normal"/>
    <w:next w:val="Normal"/>
    <w:link w:val="Heading4Char"/>
    <w:qFormat/>
    <w:rsid w:val="00314302"/>
    <w:pPr>
      <w:spacing w:before="260" w:line="360" w:lineRule="auto"/>
      <w:jc w:val="both"/>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245A5"/>
    <w:pPr>
      <w:widowControl w:val="0"/>
      <w:autoSpaceDE w:val="0"/>
      <w:autoSpaceDN w:val="0"/>
      <w:adjustRightInd w:val="0"/>
      <w:spacing w:line="288" w:lineRule="auto"/>
      <w:textAlignment w:val="center"/>
    </w:pPr>
    <w:rPr>
      <w:rFonts w:ascii="Times-Roman" w:hAnsi="Times-Roman" w:cs="Times-Roman"/>
      <w:color w:val="000000"/>
      <w:lang w:bidi="ar-SA"/>
    </w:rPr>
  </w:style>
  <w:style w:type="character" w:customStyle="1" w:styleId="Heading1Char">
    <w:name w:val="Heading 1 Char"/>
    <w:link w:val="Heading1"/>
    <w:rsid w:val="00BD4A31"/>
    <w:rPr>
      <w:rFonts w:ascii="Times New Roman" w:eastAsia="Times New Roman" w:hAnsi="Times New Roman"/>
      <w:b/>
      <w:bCs/>
      <w:color w:val="000000"/>
      <w:sz w:val="24"/>
      <w:szCs w:val="32"/>
      <w:lang w:val="en-US" w:eastAsia="en-US" w:bidi="ar-SA"/>
    </w:rPr>
  </w:style>
  <w:style w:type="character" w:customStyle="1" w:styleId="Heading2Char">
    <w:name w:val="Heading 2 Char"/>
    <w:link w:val="Heading2"/>
    <w:rsid w:val="00D02D97"/>
    <w:rPr>
      <w:rFonts w:ascii="Times New Roman" w:eastAsia="Times New Roman" w:hAnsi="Times New Roman"/>
      <w:bCs/>
      <w:i/>
      <w:color w:val="000000"/>
      <w:sz w:val="24"/>
      <w:szCs w:val="26"/>
      <w:lang w:val="en-US" w:eastAsia="en-US" w:bidi="ar-SA"/>
    </w:rPr>
  </w:style>
  <w:style w:type="character" w:customStyle="1" w:styleId="Heading3Char">
    <w:name w:val="Heading 3 Char"/>
    <w:link w:val="Heading3"/>
    <w:rsid w:val="00314302"/>
    <w:rPr>
      <w:rFonts w:ascii="Times New Roman" w:eastAsia="Times New Roman" w:hAnsi="Times New Roman"/>
      <w:bCs/>
      <w:color w:val="000000"/>
      <w:sz w:val="24"/>
      <w:szCs w:val="24"/>
    </w:rPr>
  </w:style>
  <w:style w:type="character" w:customStyle="1" w:styleId="Heading4Char">
    <w:name w:val="Heading 4 Char"/>
    <w:link w:val="Heading4"/>
    <w:rsid w:val="00314302"/>
    <w:rPr>
      <w:rFonts w:ascii="Times New Roman" w:eastAsia="Times New Roman" w:hAnsi="Times New Roman"/>
      <w:bCs/>
      <w:iCs/>
      <w:color w:val="000000"/>
      <w:sz w:val="24"/>
      <w:szCs w:val="24"/>
    </w:rPr>
  </w:style>
  <w:style w:type="paragraph" w:customStyle="1" w:styleId="Author">
    <w:name w:val="Author"/>
    <w:next w:val="Normal"/>
    <w:rsid w:val="00BD4A31"/>
    <w:pPr>
      <w:suppressAutoHyphens/>
      <w:spacing w:after="280" w:line="360" w:lineRule="auto"/>
      <w:jc w:val="center"/>
    </w:pPr>
    <w:rPr>
      <w:rFonts w:ascii="Times New Roman" w:hAnsi="Times New Roman" w:cs="TimesLTStd-Roman"/>
      <w:smallCaps/>
      <w:color w:val="000000"/>
      <w:szCs w:val="22"/>
      <w:lang w:bidi="ar-SA"/>
    </w:rPr>
  </w:style>
  <w:style w:type="paragraph" w:customStyle="1" w:styleId="Abstract">
    <w:name w:val="Abstract"/>
    <w:next w:val="Normal"/>
    <w:rsid w:val="00BD4A31"/>
    <w:pPr>
      <w:spacing w:before="100" w:after="600" w:line="360" w:lineRule="auto"/>
      <w:ind w:left="662" w:right="662"/>
      <w:jc w:val="both"/>
    </w:pPr>
    <w:rPr>
      <w:rFonts w:ascii="Times New Roman" w:hAnsi="Times New Roman" w:cs="TimesLTStd-Italic"/>
      <w:i/>
      <w:iCs/>
      <w:color w:val="000000"/>
      <w:szCs w:val="22"/>
      <w:lang w:bidi="ar-SA"/>
    </w:rPr>
  </w:style>
  <w:style w:type="paragraph" w:customStyle="1" w:styleId="Equation">
    <w:name w:val="Equation"/>
    <w:next w:val="Normal"/>
    <w:rsid w:val="00BD4A31"/>
    <w:pPr>
      <w:tabs>
        <w:tab w:val="center" w:pos="3960"/>
      </w:tabs>
      <w:suppressAutoHyphens/>
      <w:spacing w:before="260" w:line="360" w:lineRule="auto"/>
    </w:pPr>
    <w:rPr>
      <w:rFonts w:ascii="Times New Roman" w:hAnsi="Times New Roman" w:cs="TimesLTStd-Roman"/>
      <w:color w:val="000000"/>
      <w:lang w:bidi="ar-SA"/>
    </w:rPr>
  </w:style>
  <w:style w:type="paragraph" w:customStyle="1" w:styleId="NormalNoIndent">
    <w:name w:val="Normal No Indent"/>
    <w:basedOn w:val="Normal"/>
    <w:next w:val="Normal"/>
    <w:rsid w:val="00641B74"/>
    <w:pPr>
      <w:spacing w:line="360" w:lineRule="auto"/>
      <w:jc w:val="both"/>
    </w:pPr>
  </w:style>
  <w:style w:type="paragraph" w:customStyle="1" w:styleId="Contact">
    <w:name w:val="Contact"/>
    <w:next w:val="Normal"/>
    <w:rsid w:val="00BD4A31"/>
    <w:pPr>
      <w:spacing w:after="200" w:line="360" w:lineRule="auto"/>
    </w:pPr>
    <w:rPr>
      <w:rFonts w:ascii="Times New Roman" w:hAnsi="Times New Roman" w:cs="TimesLTStd-Roman"/>
      <w:color w:val="000000"/>
      <w:sz w:val="16"/>
      <w:szCs w:val="16"/>
      <w:lang w:bidi="ar-SA"/>
    </w:rPr>
  </w:style>
  <w:style w:type="paragraph" w:customStyle="1" w:styleId="ReferenceHeading">
    <w:name w:val="Reference Heading"/>
    <w:basedOn w:val="Normal"/>
    <w:next w:val="References"/>
    <w:rsid w:val="00BD4A31"/>
    <w:pPr>
      <w:keepNext/>
      <w:widowControl w:val="0"/>
      <w:autoSpaceDE w:val="0"/>
      <w:autoSpaceDN w:val="0"/>
      <w:adjustRightInd w:val="0"/>
      <w:spacing w:before="260" w:after="260" w:line="360" w:lineRule="auto"/>
      <w:jc w:val="center"/>
      <w:textAlignment w:val="center"/>
    </w:pPr>
    <w:rPr>
      <w:rFonts w:cs="TimesLTStd-Roman"/>
      <w:caps/>
      <w:szCs w:val="20"/>
    </w:rPr>
  </w:style>
  <w:style w:type="paragraph" w:customStyle="1" w:styleId="References">
    <w:name w:val="References"/>
    <w:basedOn w:val="Normal"/>
    <w:rsid w:val="00BD4A31"/>
    <w:pPr>
      <w:widowControl w:val="0"/>
      <w:autoSpaceDE w:val="0"/>
      <w:autoSpaceDN w:val="0"/>
      <w:adjustRightInd w:val="0"/>
      <w:spacing w:line="360" w:lineRule="auto"/>
      <w:ind w:left="202" w:hanging="202"/>
      <w:jc w:val="both"/>
      <w:textAlignment w:val="center"/>
    </w:pPr>
    <w:rPr>
      <w:rFonts w:cs="TimesLTStd-Roman"/>
      <w:szCs w:val="20"/>
    </w:rPr>
  </w:style>
  <w:style w:type="paragraph" w:customStyle="1" w:styleId="Extract">
    <w:name w:val="Extract"/>
    <w:next w:val="Normal"/>
    <w:uiPriority w:val="99"/>
    <w:semiHidden/>
    <w:rsid w:val="00BD4A31"/>
    <w:pPr>
      <w:spacing w:before="260" w:line="360" w:lineRule="auto"/>
      <w:ind w:left="720" w:right="720"/>
      <w:jc w:val="both"/>
    </w:pPr>
    <w:rPr>
      <w:rFonts w:ascii="Times New Roman" w:hAnsi="Times New Roman" w:cs="TimesLTStd-Italic"/>
      <w:i/>
      <w:iCs/>
      <w:color w:val="000000"/>
      <w:lang w:bidi="ar-SA"/>
    </w:rPr>
  </w:style>
  <w:style w:type="paragraph" w:customStyle="1" w:styleId="Tagline">
    <w:name w:val="Tagline"/>
    <w:basedOn w:val="Normal"/>
    <w:next w:val="Normal"/>
    <w:uiPriority w:val="99"/>
    <w:semiHidden/>
    <w:qFormat/>
    <w:rsid w:val="00314302"/>
    <w:pPr>
      <w:spacing w:after="120" w:line="360" w:lineRule="auto"/>
      <w:ind w:left="720" w:right="720"/>
      <w:jc w:val="right"/>
    </w:pPr>
  </w:style>
  <w:style w:type="paragraph" w:styleId="FootnoteText">
    <w:name w:val="footnote text"/>
    <w:basedOn w:val="Normal"/>
    <w:link w:val="FootnoteTextChar"/>
    <w:uiPriority w:val="99"/>
    <w:locked/>
    <w:rsid w:val="0038690E"/>
    <w:pPr>
      <w:spacing w:line="180" w:lineRule="atLeast"/>
      <w:ind w:firstLine="202"/>
      <w:jc w:val="both"/>
    </w:pPr>
    <w:rPr>
      <w:sz w:val="16"/>
    </w:rPr>
  </w:style>
  <w:style w:type="character" w:customStyle="1" w:styleId="FootnoteTextChar">
    <w:name w:val="Footnote Text Char"/>
    <w:link w:val="FootnoteText"/>
    <w:uiPriority w:val="99"/>
    <w:semiHidden/>
    <w:rsid w:val="002342EF"/>
    <w:rPr>
      <w:rFonts w:ascii="Times New Roman" w:hAnsi="Times New Roman"/>
      <w:color w:val="000000"/>
      <w:sz w:val="16"/>
    </w:rPr>
  </w:style>
  <w:style w:type="character" w:styleId="FootnoteReference">
    <w:name w:val="footnote reference"/>
    <w:uiPriority w:val="99"/>
    <w:semiHidden/>
    <w:locked/>
    <w:rsid w:val="007542F9"/>
    <w:rPr>
      <w:rFonts w:ascii="Times New Roman" w:hAnsi="Times New Roman"/>
      <w:sz w:val="24"/>
      <w:bdr w:val="none" w:sz="0" w:space="0" w:color="auto"/>
      <w:vertAlign w:val="superscript"/>
    </w:rPr>
  </w:style>
  <w:style w:type="paragraph" w:customStyle="1" w:styleId="FigureTitle">
    <w:name w:val="Figure Title"/>
    <w:next w:val="Normal"/>
    <w:rsid w:val="0031026D"/>
    <w:pPr>
      <w:keepLines/>
      <w:suppressAutoHyphens/>
      <w:spacing w:after="80" w:line="180" w:lineRule="atLeast"/>
      <w:jc w:val="center"/>
    </w:pPr>
    <w:rPr>
      <w:rFonts w:ascii="Times New Roman" w:hAnsi="Times New Roman" w:cs="TimesLTStd-Roman"/>
      <w:smallCaps/>
      <w:color w:val="000000"/>
      <w:spacing w:val="-1"/>
      <w:sz w:val="16"/>
      <w:szCs w:val="16"/>
      <w:lang w:bidi="ar-SA"/>
    </w:rPr>
  </w:style>
  <w:style w:type="paragraph" w:customStyle="1" w:styleId="FigureNotes">
    <w:name w:val="Figure Notes"/>
    <w:next w:val="Normal"/>
    <w:rsid w:val="00BD4A31"/>
    <w:pPr>
      <w:tabs>
        <w:tab w:val="right" w:pos="440"/>
        <w:tab w:val="left" w:pos="480"/>
      </w:tabs>
      <w:spacing w:before="120" w:after="120" w:line="180" w:lineRule="atLeast"/>
      <w:jc w:val="both"/>
    </w:pPr>
    <w:rPr>
      <w:rFonts w:ascii="Times New Roman" w:hAnsi="Times New Roman" w:cs="TimesLTStd-Roman"/>
      <w:color w:val="000000"/>
      <w:sz w:val="16"/>
      <w:szCs w:val="16"/>
      <w:lang w:bidi="ar-SA"/>
    </w:rPr>
  </w:style>
  <w:style w:type="paragraph" w:customStyle="1" w:styleId="TableTitle">
    <w:name w:val="Table Title"/>
    <w:rsid w:val="0029492A"/>
    <w:pPr>
      <w:suppressAutoHyphens/>
      <w:spacing w:after="240" w:line="276" w:lineRule="auto"/>
      <w:ind w:right="720"/>
      <w:jc w:val="center"/>
    </w:pPr>
    <w:rPr>
      <w:rFonts w:ascii="Times New Roman" w:hAnsi="Times New Roman" w:cs="TimesLTStd-Roman"/>
      <w:smallCaps/>
      <w:color w:val="000000"/>
      <w:spacing w:val="-1"/>
      <w:w w:val="97"/>
      <w:lang w:bidi="ar-SA"/>
    </w:rPr>
  </w:style>
  <w:style w:type="paragraph" w:customStyle="1" w:styleId="TableNotes">
    <w:name w:val="Table Notes"/>
    <w:rsid w:val="003B1254"/>
    <w:pPr>
      <w:spacing w:before="120" w:line="180" w:lineRule="atLeast"/>
      <w:ind w:right="720"/>
      <w:jc w:val="both"/>
    </w:pPr>
    <w:rPr>
      <w:rFonts w:ascii="Times New Roman" w:hAnsi="Times New Roman" w:cs="TimesLTStd-Roman"/>
      <w:color w:val="000000"/>
      <w:sz w:val="16"/>
      <w:szCs w:val="16"/>
      <w:lang w:bidi="ar-SA"/>
    </w:rPr>
  </w:style>
  <w:style w:type="paragraph" w:customStyle="1" w:styleId="TableText">
    <w:name w:val="Table Text"/>
    <w:rsid w:val="003B1254"/>
    <w:pPr>
      <w:spacing w:line="180" w:lineRule="atLeast"/>
      <w:jc w:val="center"/>
    </w:pPr>
    <w:rPr>
      <w:rFonts w:ascii="Times New Roman" w:hAnsi="Times New Roman" w:cs="TimesLTStd-Roman"/>
      <w:color w:val="000000"/>
      <w:sz w:val="16"/>
      <w:szCs w:val="16"/>
      <w:lang w:bidi="ar-SA"/>
    </w:rPr>
  </w:style>
  <w:style w:type="paragraph" w:styleId="Title">
    <w:name w:val="Title"/>
    <w:next w:val="Author"/>
    <w:link w:val="TitleChar"/>
    <w:qFormat/>
    <w:rsid w:val="003B1254"/>
    <w:pPr>
      <w:spacing w:after="300" w:line="360" w:lineRule="auto"/>
      <w:contextualSpacing/>
      <w:jc w:val="center"/>
    </w:pPr>
    <w:rPr>
      <w:rFonts w:ascii="Arial" w:eastAsia="Times New Roman" w:hAnsi="Arial"/>
      <w:color w:val="000000"/>
      <w:kern w:val="28"/>
      <w:sz w:val="28"/>
      <w:szCs w:val="52"/>
      <w:lang w:bidi="ar-SA"/>
    </w:rPr>
  </w:style>
  <w:style w:type="character" w:customStyle="1" w:styleId="TitleChar">
    <w:name w:val="Title Char"/>
    <w:link w:val="Title"/>
    <w:rsid w:val="00314302"/>
    <w:rPr>
      <w:rFonts w:ascii="Arial" w:eastAsia="Times New Roman" w:hAnsi="Arial"/>
      <w:color w:val="000000"/>
      <w:kern w:val="28"/>
      <w:sz w:val="28"/>
      <w:szCs w:val="52"/>
      <w:lang w:val="en-US" w:eastAsia="en-US" w:bidi="ar-SA"/>
    </w:rPr>
  </w:style>
  <w:style w:type="paragraph" w:styleId="ListBullet">
    <w:name w:val="List Bullet"/>
    <w:basedOn w:val="Normal"/>
    <w:next w:val="Normal"/>
    <w:rsid w:val="003351AC"/>
    <w:pPr>
      <w:numPr>
        <w:numId w:val="17"/>
      </w:numPr>
      <w:spacing w:line="360" w:lineRule="auto"/>
      <w:contextualSpacing/>
      <w:jc w:val="both"/>
    </w:pPr>
  </w:style>
  <w:style w:type="paragraph" w:styleId="ListNumber">
    <w:name w:val="List Number"/>
    <w:basedOn w:val="Normal"/>
    <w:next w:val="Normal"/>
    <w:rsid w:val="003351AC"/>
    <w:pPr>
      <w:numPr>
        <w:numId w:val="18"/>
      </w:numPr>
      <w:tabs>
        <w:tab w:val="clear" w:pos="1195"/>
      </w:tabs>
      <w:spacing w:after="260" w:line="360" w:lineRule="auto"/>
      <w:ind w:left="1555" w:hanging="720"/>
      <w:jc w:val="both"/>
    </w:pPr>
  </w:style>
  <w:style w:type="paragraph" w:customStyle="1" w:styleId="FigurePlaceholder">
    <w:name w:val="Figure Placeholder"/>
    <w:basedOn w:val="Normal"/>
    <w:next w:val="Normal"/>
    <w:qFormat/>
    <w:rsid w:val="00AB33DA"/>
    <w:pPr>
      <w:spacing w:before="260" w:after="260" w:line="360" w:lineRule="auto"/>
      <w:ind w:firstLine="202"/>
      <w:jc w:val="center"/>
    </w:pPr>
  </w:style>
  <w:style w:type="character" w:customStyle="1" w:styleId="TableFootLetter">
    <w:name w:val="Table FootLetter"/>
    <w:rsid w:val="00BD4A31"/>
    <w:rPr>
      <w:rFonts w:ascii="Times New Roman" w:hAnsi="Times New Roman"/>
      <w:sz w:val="16"/>
      <w:bdr w:val="none" w:sz="0" w:space="0" w:color="auto"/>
      <w:vertAlign w:val="superscript"/>
    </w:rPr>
  </w:style>
  <w:style w:type="paragraph" w:customStyle="1" w:styleId="TableFootnote">
    <w:name w:val="Table Footnote"/>
    <w:basedOn w:val="TableNotes"/>
    <w:next w:val="TableNotes"/>
    <w:qFormat/>
    <w:rsid w:val="005118B9"/>
  </w:style>
  <w:style w:type="paragraph" w:customStyle="1" w:styleId="TablePlaceholder">
    <w:name w:val="Table Placeholder"/>
    <w:basedOn w:val="FigurePlaceholder"/>
    <w:next w:val="NoParagraphStyle"/>
    <w:qFormat/>
    <w:rsid w:val="00AB33DA"/>
  </w:style>
  <w:style w:type="paragraph" w:styleId="DocumentMap">
    <w:name w:val="Document Map"/>
    <w:basedOn w:val="Normal"/>
    <w:link w:val="DocumentMapChar"/>
    <w:uiPriority w:val="99"/>
    <w:semiHidden/>
    <w:rsid w:val="00CB7232"/>
    <w:pPr>
      <w:spacing w:line="360" w:lineRule="auto"/>
      <w:ind w:firstLine="202"/>
      <w:jc w:val="both"/>
    </w:pPr>
    <w:rPr>
      <w:rFonts w:ascii="Lucida Grande" w:hAnsi="Lucida Grande"/>
    </w:rPr>
  </w:style>
  <w:style w:type="character" w:customStyle="1" w:styleId="DocumentMapChar">
    <w:name w:val="Document Map Char"/>
    <w:link w:val="DocumentMap"/>
    <w:uiPriority w:val="99"/>
    <w:semiHidden/>
    <w:rsid w:val="008C4881"/>
    <w:rPr>
      <w:rFonts w:ascii="Lucida Grande" w:hAnsi="Lucida Grande"/>
      <w:sz w:val="24"/>
      <w:szCs w:val="24"/>
    </w:rPr>
  </w:style>
  <w:style w:type="character" w:styleId="CommentReference">
    <w:name w:val="annotation reference"/>
    <w:uiPriority w:val="99"/>
    <w:semiHidden/>
    <w:rsid w:val="00CB7232"/>
    <w:rPr>
      <w:sz w:val="18"/>
      <w:szCs w:val="18"/>
    </w:rPr>
  </w:style>
  <w:style w:type="paragraph" w:styleId="CommentText">
    <w:name w:val="annotation text"/>
    <w:basedOn w:val="Normal"/>
    <w:link w:val="CommentTextChar"/>
    <w:uiPriority w:val="99"/>
    <w:semiHidden/>
    <w:rsid w:val="00CB7232"/>
    <w:pPr>
      <w:spacing w:line="360" w:lineRule="auto"/>
      <w:ind w:firstLine="202"/>
      <w:jc w:val="both"/>
    </w:pPr>
  </w:style>
  <w:style w:type="character" w:customStyle="1" w:styleId="CommentTextChar">
    <w:name w:val="Comment Text Char"/>
    <w:link w:val="CommentText"/>
    <w:uiPriority w:val="99"/>
    <w:semiHidden/>
    <w:rsid w:val="008C4881"/>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CB7232"/>
    <w:rPr>
      <w:b/>
      <w:bCs/>
      <w:sz w:val="20"/>
      <w:szCs w:val="20"/>
    </w:rPr>
  </w:style>
  <w:style w:type="character" w:customStyle="1" w:styleId="CommentSubjectChar">
    <w:name w:val="Comment Subject Char"/>
    <w:link w:val="CommentSubject"/>
    <w:uiPriority w:val="99"/>
    <w:semiHidden/>
    <w:rsid w:val="008C4881"/>
    <w:rPr>
      <w:rFonts w:ascii="Times New Roman" w:hAnsi="Times New Roman"/>
      <w:b/>
      <w:bCs/>
      <w:sz w:val="24"/>
      <w:szCs w:val="24"/>
    </w:rPr>
  </w:style>
  <w:style w:type="paragraph" w:styleId="BalloonText">
    <w:name w:val="Balloon Text"/>
    <w:basedOn w:val="Normal"/>
    <w:link w:val="BalloonTextChar"/>
    <w:uiPriority w:val="99"/>
    <w:semiHidden/>
    <w:rsid w:val="000B4D4C"/>
    <w:pPr>
      <w:ind w:firstLine="202"/>
      <w:jc w:val="both"/>
    </w:pPr>
    <w:rPr>
      <w:rFonts w:ascii="Lucida Grande" w:hAnsi="Lucida Grande"/>
      <w:sz w:val="18"/>
      <w:szCs w:val="18"/>
    </w:rPr>
  </w:style>
  <w:style w:type="character" w:customStyle="1" w:styleId="BalloonTextChar">
    <w:name w:val="Balloon Text Char"/>
    <w:link w:val="BalloonText"/>
    <w:uiPriority w:val="99"/>
    <w:semiHidden/>
    <w:rsid w:val="008C4881"/>
    <w:rPr>
      <w:rFonts w:ascii="Lucida Grande" w:hAnsi="Lucida Grande"/>
      <w:sz w:val="18"/>
      <w:szCs w:val="18"/>
    </w:rPr>
  </w:style>
  <w:style w:type="character" w:styleId="Hyperlink">
    <w:name w:val="Hyperlink"/>
    <w:uiPriority w:val="99"/>
    <w:semiHidden/>
    <w:rsid w:val="00015EA4"/>
    <w:rPr>
      <w:color w:val="0000FF"/>
      <w:u w:val="single"/>
    </w:rPr>
  </w:style>
  <w:style w:type="paragraph" w:customStyle="1" w:styleId="equation0">
    <w:name w:val="equation"/>
    <w:basedOn w:val="Normal"/>
    <w:next w:val="Normal"/>
    <w:uiPriority w:val="99"/>
    <w:rsid w:val="00BF62D6"/>
    <w:pPr>
      <w:keepLines/>
      <w:autoSpaceDE w:val="0"/>
      <w:autoSpaceDN w:val="0"/>
      <w:adjustRightInd w:val="0"/>
      <w:spacing w:before="120" w:after="120"/>
    </w:pPr>
    <w:rPr>
      <w:rFonts w:eastAsia="Times New Roman"/>
      <w:lang w:eastAsia="en-AU"/>
    </w:rPr>
  </w:style>
  <w:style w:type="paragraph" w:styleId="Header">
    <w:name w:val="header"/>
    <w:basedOn w:val="Normal"/>
    <w:link w:val="HeaderChar"/>
    <w:uiPriority w:val="99"/>
    <w:semiHidden/>
    <w:rsid w:val="007C67F9"/>
    <w:pPr>
      <w:tabs>
        <w:tab w:val="center" w:pos="4513"/>
        <w:tab w:val="right" w:pos="9026"/>
      </w:tabs>
      <w:spacing w:line="360" w:lineRule="auto"/>
      <w:ind w:firstLine="202"/>
      <w:jc w:val="both"/>
    </w:pPr>
  </w:style>
  <w:style w:type="character" w:customStyle="1" w:styleId="HeaderChar">
    <w:name w:val="Header Char"/>
    <w:link w:val="Header"/>
    <w:uiPriority w:val="99"/>
    <w:semiHidden/>
    <w:rsid w:val="007C67F9"/>
    <w:rPr>
      <w:rFonts w:ascii="Times New Roman" w:hAnsi="Times New Roman"/>
      <w:sz w:val="24"/>
      <w:szCs w:val="24"/>
      <w:lang w:val="en-US" w:eastAsia="en-US" w:bidi="ar-SA"/>
    </w:rPr>
  </w:style>
  <w:style w:type="paragraph" w:styleId="Footer">
    <w:name w:val="footer"/>
    <w:basedOn w:val="Normal"/>
    <w:link w:val="FooterChar"/>
    <w:uiPriority w:val="99"/>
    <w:rsid w:val="007C67F9"/>
    <w:pPr>
      <w:tabs>
        <w:tab w:val="center" w:pos="4513"/>
        <w:tab w:val="right" w:pos="9026"/>
      </w:tabs>
      <w:spacing w:line="360" w:lineRule="auto"/>
      <w:ind w:firstLine="202"/>
      <w:jc w:val="both"/>
    </w:pPr>
  </w:style>
  <w:style w:type="character" w:customStyle="1" w:styleId="FooterChar">
    <w:name w:val="Footer Char"/>
    <w:link w:val="Footer"/>
    <w:uiPriority w:val="99"/>
    <w:rsid w:val="007C67F9"/>
    <w:rPr>
      <w:rFonts w:ascii="Times New Roman" w:hAnsi="Times New Roman"/>
      <w:sz w:val="24"/>
      <w:szCs w:val="24"/>
      <w:lang w:val="en-US" w:eastAsia="en-US" w:bidi="ar-SA"/>
    </w:rPr>
  </w:style>
  <w:style w:type="paragraph" w:styleId="Caption">
    <w:name w:val="caption"/>
    <w:basedOn w:val="Normal"/>
    <w:next w:val="Normal"/>
    <w:uiPriority w:val="35"/>
    <w:qFormat/>
    <w:rsid w:val="00DA1034"/>
    <w:pPr>
      <w:keepLines/>
      <w:autoSpaceDE w:val="0"/>
      <w:autoSpaceDN w:val="0"/>
      <w:adjustRightInd w:val="0"/>
      <w:spacing w:before="120" w:after="120"/>
    </w:pPr>
    <w:rPr>
      <w:rFonts w:eastAsia="Times New Roman"/>
      <w:lang w:eastAsia="en-AU"/>
    </w:rPr>
  </w:style>
  <w:style w:type="character" w:styleId="FollowedHyperlink">
    <w:name w:val="FollowedHyperlink"/>
    <w:basedOn w:val="DefaultParagraphFont"/>
    <w:uiPriority w:val="99"/>
    <w:semiHidden/>
    <w:unhideWhenUsed/>
    <w:rsid w:val="00967E82"/>
    <w:rPr>
      <w:color w:val="800080" w:themeColor="followedHyperlink"/>
      <w:u w:val="single"/>
    </w:rPr>
  </w:style>
  <w:style w:type="character" w:styleId="PlaceholderText">
    <w:name w:val="Placeholder Text"/>
    <w:basedOn w:val="DefaultParagraphFont"/>
    <w:uiPriority w:val="99"/>
    <w:semiHidden/>
    <w:rsid w:val="008A7152"/>
    <w:rPr>
      <w:color w:val="808080"/>
    </w:rPr>
  </w:style>
  <w:style w:type="paragraph" w:styleId="ListParagraph">
    <w:name w:val="List Paragraph"/>
    <w:basedOn w:val="Normal"/>
    <w:uiPriority w:val="99"/>
    <w:qFormat/>
    <w:rsid w:val="00F4204E"/>
    <w:pPr>
      <w:spacing w:line="360" w:lineRule="auto"/>
      <w:ind w:left="720" w:firstLine="202"/>
      <w:contextualSpacing/>
      <w:jc w:val="both"/>
    </w:pPr>
  </w:style>
  <w:style w:type="character" w:customStyle="1" w:styleId="apple-converted-space">
    <w:name w:val="apple-converted-space"/>
    <w:basedOn w:val="DefaultParagraphFont"/>
    <w:rsid w:val="00CD4545"/>
  </w:style>
  <w:style w:type="paragraph" w:customStyle="1" w:styleId="author0">
    <w:name w:val="author"/>
    <w:basedOn w:val="Normal"/>
    <w:next w:val="Normal"/>
    <w:uiPriority w:val="99"/>
    <w:rsid w:val="003A7E25"/>
    <w:pPr>
      <w:widowControl w:val="0"/>
      <w:autoSpaceDE w:val="0"/>
      <w:autoSpaceDN w:val="0"/>
      <w:adjustRightInd w:val="0"/>
      <w:spacing w:after="120"/>
      <w:jc w:val="center"/>
    </w:pPr>
    <w:rPr>
      <w:rFonts w:eastAsia="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Calisto MT" w:hAnsi="Calisto MT" w:cs="Times New Roman"/>
        <w:sz w:val="24"/>
        <w:szCs w:val="24"/>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Number" w:semiHidden="0"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unhideWhenUsed="0"/>
    <w:lsdException w:name="Date" w:uiPriority="99" w:unhideWhenUsed="0"/>
    <w:lsdException w:name="Body Text First Indent" w:uiPriority="99" w:unhideWhenUsed="0"/>
    <w:lsdException w:name="Body Text First Indent 2" w:uiPriority="99"/>
    <w:lsdException w:name="Note Heading" w:uiPriority="99"/>
    <w:lsdException w:name="Body Text 2" w:uiPriority="98"/>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1" w:unhideWhenUsed="0" w:qFormat="1"/>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Table Grid" w:semiHidden="0" w:unhideWhenUsed="0"/>
    <w:lsdException w:name="Placeholder Text" w:uiPriority="99"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99"/>
    <w:lsdException w:name="TOC Heading" w:uiPriority="99" w:qFormat="1"/>
  </w:latentStyles>
  <w:style w:type="paragraph" w:default="1" w:styleId="Normal">
    <w:name w:val="Normal"/>
    <w:qFormat/>
    <w:rsid w:val="00CD4545"/>
    <w:rPr>
      <w:rFonts w:ascii="Times New Roman" w:hAnsi="Times New Roman"/>
      <w:lang w:bidi="ar-SA"/>
    </w:rPr>
  </w:style>
  <w:style w:type="paragraph" w:styleId="Heading1">
    <w:name w:val="heading 1"/>
    <w:next w:val="Normal"/>
    <w:link w:val="Heading1Char"/>
    <w:qFormat/>
    <w:rsid w:val="00BD4A31"/>
    <w:pPr>
      <w:keepNext/>
      <w:keepLines/>
      <w:spacing w:before="260" w:after="260" w:line="360" w:lineRule="auto"/>
      <w:contextualSpacing/>
      <w:jc w:val="center"/>
      <w:outlineLvl w:val="0"/>
    </w:pPr>
    <w:rPr>
      <w:rFonts w:ascii="Times New Roman" w:eastAsia="Times New Roman" w:hAnsi="Times New Roman"/>
      <w:b/>
      <w:bCs/>
      <w:color w:val="000000"/>
      <w:szCs w:val="32"/>
      <w:lang w:bidi="ar-SA"/>
    </w:rPr>
  </w:style>
  <w:style w:type="paragraph" w:styleId="Heading2">
    <w:name w:val="heading 2"/>
    <w:next w:val="Normal"/>
    <w:link w:val="Heading2Char"/>
    <w:qFormat/>
    <w:rsid w:val="00BD4A31"/>
    <w:pPr>
      <w:keepNext/>
      <w:keepLines/>
      <w:spacing w:before="260" w:after="260" w:line="360" w:lineRule="auto"/>
      <w:contextualSpacing/>
      <w:jc w:val="center"/>
      <w:outlineLvl w:val="1"/>
    </w:pPr>
    <w:rPr>
      <w:rFonts w:ascii="Times New Roman" w:eastAsia="Times New Roman" w:hAnsi="Times New Roman"/>
      <w:bCs/>
      <w:i/>
      <w:color w:val="000000"/>
      <w:szCs w:val="26"/>
      <w:lang w:bidi="ar-SA"/>
    </w:rPr>
  </w:style>
  <w:style w:type="paragraph" w:styleId="Heading3">
    <w:name w:val="heading 3"/>
    <w:basedOn w:val="Normal"/>
    <w:next w:val="Normal"/>
    <w:link w:val="Heading3Char"/>
    <w:qFormat/>
    <w:rsid w:val="00314302"/>
    <w:pPr>
      <w:spacing w:before="260" w:line="360" w:lineRule="auto"/>
      <w:jc w:val="both"/>
      <w:outlineLvl w:val="2"/>
    </w:pPr>
    <w:rPr>
      <w:rFonts w:eastAsia="Times New Roman"/>
      <w:bCs/>
    </w:rPr>
  </w:style>
  <w:style w:type="paragraph" w:styleId="Heading4">
    <w:name w:val="heading 4"/>
    <w:basedOn w:val="Normal"/>
    <w:next w:val="Normal"/>
    <w:link w:val="Heading4Char"/>
    <w:qFormat/>
    <w:rsid w:val="00314302"/>
    <w:pPr>
      <w:spacing w:before="260" w:line="360" w:lineRule="auto"/>
      <w:jc w:val="both"/>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245A5"/>
    <w:pPr>
      <w:widowControl w:val="0"/>
      <w:autoSpaceDE w:val="0"/>
      <w:autoSpaceDN w:val="0"/>
      <w:adjustRightInd w:val="0"/>
      <w:spacing w:line="288" w:lineRule="auto"/>
      <w:textAlignment w:val="center"/>
    </w:pPr>
    <w:rPr>
      <w:rFonts w:ascii="Times-Roman" w:hAnsi="Times-Roman" w:cs="Times-Roman"/>
      <w:color w:val="000000"/>
      <w:lang w:bidi="ar-SA"/>
    </w:rPr>
  </w:style>
  <w:style w:type="character" w:customStyle="1" w:styleId="Heading1Char">
    <w:name w:val="Heading 1 Char"/>
    <w:link w:val="Heading1"/>
    <w:rsid w:val="00BD4A31"/>
    <w:rPr>
      <w:rFonts w:ascii="Times New Roman" w:eastAsia="Times New Roman" w:hAnsi="Times New Roman"/>
      <w:b/>
      <w:bCs/>
      <w:color w:val="000000"/>
      <w:sz w:val="24"/>
      <w:szCs w:val="32"/>
      <w:lang w:val="en-US" w:eastAsia="en-US" w:bidi="ar-SA"/>
    </w:rPr>
  </w:style>
  <w:style w:type="character" w:customStyle="1" w:styleId="Heading2Char">
    <w:name w:val="Heading 2 Char"/>
    <w:link w:val="Heading2"/>
    <w:rsid w:val="00D02D97"/>
    <w:rPr>
      <w:rFonts w:ascii="Times New Roman" w:eastAsia="Times New Roman" w:hAnsi="Times New Roman"/>
      <w:bCs/>
      <w:i/>
      <w:color w:val="000000"/>
      <w:sz w:val="24"/>
      <w:szCs w:val="26"/>
      <w:lang w:val="en-US" w:eastAsia="en-US" w:bidi="ar-SA"/>
    </w:rPr>
  </w:style>
  <w:style w:type="character" w:customStyle="1" w:styleId="Heading3Char">
    <w:name w:val="Heading 3 Char"/>
    <w:link w:val="Heading3"/>
    <w:rsid w:val="00314302"/>
    <w:rPr>
      <w:rFonts w:ascii="Times New Roman" w:eastAsia="Times New Roman" w:hAnsi="Times New Roman"/>
      <w:bCs/>
      <w:color w:val="000000"/>
      <w:sz w:val="24"/>
      <w:szCs w:val="24"/>
    </w:rPr>
  </w:style>
  <w:style w:type="character" w:customStyle="1" w:styleId="Heading4Char">
    <w:name w:val="Heading 4 Char"/>
    <w:link w:val="Heading4"/>
    <w:rsid w:val="00314302"/>
    <w:rPr>
      <w:rFonts w:ascii="Times New Roman" w:eastAsia="Times New Roman" w:hAnsi="Times New Roman"/>
      <w:bCs/>
      <w:iCs/>
      <w:color w:val="000000"/>
      <w:sz w:val="24"/>
      <w:szCs w:val="24"/>
    </w:rPr>
  </w:style>
  <w:style w:type="paragraph" w:customStyle="1" w:styleId="Author">
    <w:name w:val="Author"/>
    <w:next w:val="Normal"/>
    <w:rsid w:val="00BD4A31"/>
    <w:pPr>
      <w:suppressAutoHyphens/>
      <w:spacing w:after="280" w:line="360" w:lineRule="auto"/>
      <w:jc w:val="center"/>
    </w:pPr>
    <w:rPr>
      <w:rFonts w:ascii="Times New Roman" w:hAnsi="Times New Roman" w:cs="TimesLTStd-Roman"/>
      <w:smallCaps/>
      <w:color w:val="000000"/>
      <w:szCs w:val="22"/>
      <w:lang w:bidi="ar-SA"/>
    </w:rPr>
  </w:style>
  <w:style w:type="paragraph" w:customStyle="1" w:styleId="Abstract">
    <w:name w:val="Abstract"/>
    <w:next w:val="Normal"/>
    <w:rsid w:val="00BD4A31"/>
    <w:pPr>
      <w:spacing w:before="100" w:after="600" w:line="360" w:lineRule="auto"/>
      <w:ind w:left="662" w:right="662"/>
      <w:jc w:val="both"/>
    </w:pPr>
    <w:rPr>
      <w:rFonts w:ascii="Times New Roman" w:hAnsi="Times New Roman" w:cs="TimesLTStd-Italic"/>
      <w:i/>
      <w:iCs/>
      <w:color w:val="000000"/>
      <w:szCs w:val="22"/>
      <w:lang w:bidi="ar-SA"/>
    </w:rPr>
  </w:style>
  <w:style w:type="paragraph" w:customStyle="1" w:styleId="Equation">
    <w:name w:val="Equation"/>
    <w:next w:val="Normal"/>
    <w:rsid w:val="00BD4A31"/>
    <w:pPr>
      <w:tabs>
        <w:tab w:val="center" w:pos="3960"/>
      </w:tabs>
      <w:suppressAutoHyphens/>
      <w:spacing w:before="260" w:line="360" w:lineRule="auto"/>
    </w:pPr>
    <w:rPr>
      <w:rFonts w:ascii="Times New Roman" w:hAnsi="Times New Roman" w:cs="TimesLTStd-Roman"/>
      <w:color w:val="000000"/>
      <w:lang w:bidi="ar-SA"/>
    </w:rPr>
  </w:style>
  <w:style w:type="paragraph" w:customStyle="1" w:styleId="NormalNoIndent">
    <w:name w:val="Normal No Indent"/>
    <w:basedOn w:val="Normal"/>
    <w:next w:val="Normal"/>
    <w:rsid w:val="00641B74"/>
    <w:pPr>
      <w:spacing w:line="360" w:lineRule="auto"/>
      <w:jc w:val="both"/>
    </w:pPr>
  </w:style>
  <w:style w:type="paragraph" w:customStyle="1" w:styleId="Contact">
    <w:name w:val="Contact"/>
    <w:next w:val="Normal"/>
    <w:rsid w:val="00BD4A31"/>
    <w:pPr>
      <w:spacing w:after="200" w:line="360" w:lineRule="auto"/>
    </w:pPr>
    <w:rPr>
      <w:rFonts w:ascii="Times New Roman" w:hAnsi="Times New Roman" w:cs="TimesLTStd-Roman"/>
      <w:color w:val="000000"/>
      <w:sz w:val="16"/>
      <w:szCs w:val="16"/>
      <w:lang w:bidi="ar-SA"/>
    </w:rPr>
  </w:style>
  <w:style w:type="paragraph" w:customStyle="1" w:styleId="ReferenceHeading">
    <w:name w:val="Reference Heading"/>
    <w:basedOn w:val="Normal"/>
    <w:next w:val="References"/>
    <w:rsid w:val="00BD4A31"/>
    <w:pPr>
      <w:keepNext/>
      <w:widowControl w:val="0"/>
      <w:autoSpaceDE w:val="0"/>
      <w:autoSpaceDN w:val="0"/>
      <w:adjustRightInd w:val="0"/>
      <w:spacing w:before="260" w:after="260" w:line="360" w:lineRule="auto"/>
      <w:jc w:val="center"/>
      <w:textAlignment w:val="center"/>
    </w:pPr>
    <w:rPr>
      <w:rFonts w:cs="TimesLTStd-Roman"/>
      <w:caps/>
      <w:szCs w:val="20"/>
    </w:rPr>
  </w:style>
  <w:style w:type="paragraph" w:customStyle="1" w:styleId="References">
    <w:name w:val="References"/>
    <w:basedOn w:val="Normal"/>
    <w:rsid w:val="00BD4A31"/>
    <w:pPr>
      <w:widowControl w:val="0"/>
      <w:autoSpaceDE w:val="0"/>
      <w:autoSpaceDN w:val="0"/>
      <w:adjustRightInd w:val="0"/>
      <w:spacing w:line="360" w:lineRule="auto"/>
      <w:ind w:left="202" w:hanging="202"/>
      <w:jc w:val="both"/>
      <w:textAlignment w:val="center"/>
    </w:pPr>
    <w:rPr>
      <w:rFonts w:cs="TimesLTStd-Roman"/>
      <w:szCs w:val="20"/>
    </w:rPr>
  </w:style>
  <w:style w:type="paragraph" w:customStyle="1" w:styleId="Extract">
    <w:name w:val="Extract"/>
    <w:next w:val="Normal"/>
    <w:uiPriority w:val="99"/>
    <w:semiHidden/>
    <w:rsid w:val="00BD4A31"/>
    <w:pPr>
      <w:spacing w:before="260" w:line="360" w:lineRule="auto"/>
      <w:ind w:left="720" w:right="720"/>
      <w:jc w:val="both"/>
    </w:pPr>
    <w:rPr>
      <w:rFonts w:ascii="Times New Roman" w:hAnsi="Times New Roman" w:cs="TimesLTStd-Italic"/>
      <w:i/>
      <w:iCs/>
      <w:color w:val="000000"/>
      <w:lang w:bidi="ar-SA"/>
    </w:rPr>
  </w:style>
  <w:style w:type="paragraph" w:customStyle="1" w:styleId="Tagline">
    <w:name w:val="Tagline"/>
    <w:basedOn w:val="Normal"/>
    <w:next w:val="Normal"/>
    <w:uiPriority w:val="99"/>
    <w:semiHidden/>
    <w:qFormat/>
    <w:rsid w:val="00314302"/>
    <w:pPr>
      <w:spacing w:after="120" w:line="360" w:lineRule="auto"/>
      <w:ind w:left="720" w:right="720"/>
      <w:jc w:val="right"/>
    </w:pPr>
  </w:style>
  <w:style w:type="paragraph" w:styleId="FootnoteText">
    <w:name w:val="footnote text"/>
    <w:basedOn w:val="Normal"/>
    <w:link w:val="FootnoteTextChar"/>
    <w:uiPriority w:val="99"/>
    <w:locked/>
    <w:rsid w:val="0038690E"/>
    <w:pPr>
      <w:spacing w:line="180" w:lineRule="atLeast"/>
      <w:ind w:firstLine="202"/>
      <w:jc w:val="both"/>
    </w:pPr>
    <w:rPr>
      <w:sz w:val="16"/>
    </w:rPr>
  </w:style>
  <w:style w:type="character" w:customStyle="1" w:styleId="FootnoteTextChar">
    <w:name w:val="Footnote Text Char"/>
    <w:link w:val="FootnoteText"/>
    <w:uiPriority w:val="99"/>
    <w:semiHidden/>
    <w:rsid w:val="002342EF"/>
    <w:rPr>
      <w:rFonts w:ascii="Times New Roman" w:hAnsi="Times New Roman"/>
      <w:color w:val="000000"/>
      <w:sz w:val="16"/>
    </w:rPr>
  </w:style>
  <w:style w:type="character" w:styleId="FootnoteReference">
    <w:name w:val="footnote reference"/>
    <w:uiPriority w:val="99"/>
    <w:semiHidden/>
    <w:locked/>
    <w:rsid w:val="007542F9"/>
    <w:rPr>
      <w:rFonts w:ascii="Times New Roman" w:hAnsi="Times New Roman"/>
      <w:sz w:val="24"/>
      <w:bdr w:val="none" w:sz="0" w:space="0" w:color="auto"/>
      <w:vertAlign w:val="superscript"/>
    </w:rPr>
  </w:style>
  <w:style w:type="paragraph" w:customStyle="1" w:styleId="FigureTitle">
    <w:name w:val="Figure Title"/>
    <w:next w:val="Normal"/>
    <w:rsid w:val="0031026D"/>
    <w:pPr>
      <w:keepLines/>
      <w:suppressAutoHyphens/>
      <w:spacing w:after="80" w:line="180" w:lineRule="atLeast"/>
      <w:jc w:val="center"/>
    </w:pPr>
    <w:rPr>
      <w:rFonts w:ascii="Times New Roman" w:hAnsi="Times New Roman" w:cs="TimesLTStd-Roman"/>
      <w:smallCaps/>
      <w:color w:val="000000"/>
      <w:spacing w:val="-1"/>
      <w:sz w:val="16"/>
      <w:szCs w:val="16"/>
      <w:lang w:bidi="ar-SA"/>
    </w:rPr>
  </w:style>
  <w:style w:type="paragraph" w:customStyle="1" w:styleId="FigureNotes">
    <w:name w:val="Figure Notes"/>
    <w:next w:val="Normal"/>
    <w:rsid w:val="00BD4A31"/>
    <w:pPr>
      <w:tabs>
        <w:tab w:val="right" w:pos="440"/>
        <w:tab w:val="left" w:pos="480"/>
      </w:tabs>
      <w:spacing w:before="120" w:after="120" w:line="180" w:lineRule="atLeast"/>
      <w:jc w:val="both"/>
    </w:pPr>
    <w:rPr>
      <w:rFonts w:ascii="Times New Roman" w:hAnsi="Times New Roman" w:cs="TimesLTStd-Roman"/>
      <w:color w:val="000000"/>
      <w:sz w:val="16"/>
      <w:szCs w:val="16"/>
      <w:lang w:bidi="ar-SA"/>
    </w:rPr>
  </w:style>
  <w:style w:type="paragraph" w:customStyle="1" w:styleId="TableTitle">
    <w:name w:val="Table Title"/>
    <w:rsid w:val="0029492A"/>
    <w:pPr>
      <w:suppressAutoHyphens/>
      <w:spacing w:after="240" w:line="276" w:lineRule="auto"/>
      <w:ind w:right="720"/>
      <w:jc w:val="center"/>
    </w:pPr>
    <w:rPr>
      <w:rFonts w:ascii="Times New Roman" w:hAnsi="Times New Roman" w:cs="TimesLTStd-Roman"/>
      <w:smallCaps/>
      <w:color w:val="000000"/>
      <w:spacing w:val="-1"/>
      <w:w w:val="97"/>
      <w:lang w:bidi="ar-SA"/>
    </w:rPr>
  </w:style>
  <w:style w:type="paragraph" w:customStyle="1" w:styleId="TableNotes">
    <w:name w:val="Table Notes"/>
    <w:rsid w:val="003B1254"/>
    <w:pPr>
      <w:spacing w:before="120" w:line="180" w:lineRule="atLeast"/>
      <w:ind w:right="720"/>
      <w:jc w:val="both"/>
    </w:pPr>
    <w:rPr>
      <w:rFonts w:ascii="Times New Roman" w:hAnsi="Times New Roman" w:cs="TimesLTStd-Roman"/>
      <w:color w:val="000000"/>
      <w:sz w:val="16"/>
      <w:szCs w:val="16"/>
      <w:lang w:bidi="ar-SA"/>
    </w:rPr>
  </w:style>
  <w:style w:type="paragraph" w:customStyle="1" w:styleId="TableText">
    <w:name w:val="Table Text"/>
    <w:rsid w:val="003B1254"/>
    <w:pPr>
      <w:spacing w:line="180" w:lineRule="atLeast"/>
      <w:jc w:val="center"/>
    </w:pPr>
    <w:rPr>
      <w:rFonts w:ascii="Times New Roman" w:hAnsi="Times New Roman" w:cs="TimesLTStd-Roman"/>
      <w:color w:val="000000"/>
      <w:sz w:val="16"/>
      <w:szCs w:val="16"/>
      <w:lang w:bidi="ar-SA"/>
    </w:rPr>
  </w:style>
  <w:style w:type="paragraph" w:styleId="Title">
    <w:name w:val="Title"/>
    <w:next w:val="Author"/>
    <w:link w:val="TitleChar"/>
    <w:qFormat/>
    <w:rsid w:val="003B1254"/>
    <w:pPr>
      <w:spacing w:after="300" w:line="360" w:lineRule="auto"/>
      <w:contextualSpacing/>
      <w:jc w:val="center"/>
    </w:pPr>
    <w:rPr>
      <w:rFonts w:ascii="Arial" w:eastAsia="Times New Roman" w:hAnsi="Arial"/>
      <w:color w:val="000000"/>
      <w:kern w:val="28"/>
      <w:sz w:val="28"/>
      <w:szCs w:val="52"/>
      <w:lang w:bidi="ar-SA"/>
    </w:rPr>
  </w:style>
  <w:style w:type="character" w:customStyle="1" w:styleId="TitleChar">
    <w:name w:val="Title Char"/>
    <w:link w:val="Title"/>
    <w:rsid w:val="00314302"/>
    <w:rPr>
      <w:rFonts w:ascii="Arial" w:eastAsia="Times New Roman" w:hAnsi="Arial"/>
      <w:color w:val="000000"/>
      <w:kern w:val="28"/>
      <w:sz w:val="28"/>
      <w:szCs w:val="52"/>
      <w:lang w:val="en-US" w:eastAsia="en-US" w:bidi="ar-SA"/>
    </w:rPr>
  </w:style>
  <w:style w:type="paragraph" w:styleId="ListBullet">
    <w:name w:val="List Bullet"/>
    <w:basedOn w:val="Normal"/>
    <w:next w:val="Normal"/>
    <w:rsid w:val="003351AC"/>
    <w:pPr>
      <w:numPr>
        <w:numId w:val="17"/>
      </w:numPr>
      <w:spacing w:line="360" w:lineRule="auto"/>
      <w:contextualSpacing/>
      <w:jc w:val="both"/>
    </w:pPr>
  </w:style>
  <w:style w:type="paragraph" w:styleId="ListNumber">
    <w:name w:val="List Number"/>
    <w:basedOn w:val="Normal"/>
    <w:next w:val="Normal"/>
    <w:rsid w:val="003351AC"/>
    <w:pPr>
      <w:numPr>
        <w:numId w:val="18"/>
      </w:numPr>
      <w:tabs>
        <w:tab w:val="clear" w:pos="1195"/>
      </w:tabs>
      <w:spacing w:after="260" w:line="360" w:lineRule="auto"/>
      <w:ind w:left="1555" w:hanging="720"/>
      <w:jc w:val="both"/>
    </w:pPr>
  </w:style>
  <w:style w:type="paragraph" w:customStyle="1" w:styleId="FigurePlaceholder">
    <w:name w:val="Figure Placeholder"/>
    <w:basedOn w:val="Normal"/>
    <w:next w:val="Normal"/>
    <w:qFormat/>
    <w:rsid w:val="00AB33DA"/>
    <w:pPr>
      <w:spacing w:before="260" w:after="260" w:line="360" w:lineRule="auto"/>
      <w:ind w:firstLine="202"/>
      <w:jc w:val="center"/>
    </w:pPr>
  </w:style>
  <w:style w:type="character" w:customStyle="1" w:styleId="TableFootLetter">
    <w:name w:val="Table FootLetter"/>
    <w:rsid w:val="00BD4A31"/>
    <w:rPr>
      <w:rFonts w:ascii="Times New Roman" w:hAnsi="Times New Roman"/>
      <w:sz w:val="16"/>
      <w:bdr w:val="none" w:sz="0" w:space="0" w:color="auto"/>
      <w:vertAlign w:val="superscript"/>
    </w:rPr>
  </w:style>
  <w:style w:type="paragraph" w:customStyle="1" w:styleId="TableFootnote">
    <w:name w:val="Table Footnote"/>
    <w:basedOn w:val="TableNotes"/>
    <w:next w:val="TableNotes"/>
    <w:qFormat/>
    <w:rsid w:val="005118B9"/>
  </w:style>
  <w:style w:type="paragraph" w:customStyle="1" w:styleId="TablePlaceholder">
    <w:name w:val="Table Placeholder"/>
    <w:basedOn w:val="FigurePlaceholder"/>
    <w:next w:val="NoParagraphStyle"/>
    <w:qFormat/>
    <w:rsid w:val="00AB33DA"/>
  </w:style>
  <w:style w:type="paragraph" w:styleId="DocumentMap">
    <w:name w:val="Document Map"/>
    <w:basedOn w:val="Normal"/>
    <w:link w:val="DocumentMapChar"/>
    <w:uiPriority w:val="99"/>
    <w:semiHidden/>
    <w:rsid w:val="00CB7232"/>
    <w:pPr>
      <w:spacing w:line="360" w:lineRule="auto"/>
      <w:ind w:firstLine="202"/>
      <w:jc w:val="both"/>
    </w:pPr>
    <w:rPr>
      <w:rFonts w:ascii="Lucida Grande" w:hAnsi="Lucida Grande"/>
    </w:rPr>
  </w:style>
  <w:style w:type="character" w:customStyle="1" w:styleId="DocumentMapChar">
    <w:name w:val="Document Map Char"/>
    <w:link w:val="DocumentMap"/>
    <w:uiPriority w:val="99"/>
    <w:semiHidden/>
    <w:rsid w:val="008C4881"/>
    <w:rPr>
      <w:rFonts w:ascii="Lucida Grande" w:hAnsi="Lucida Grande"/>
      <w:sz w:val="24"/>
      <w:szCs w:val="24"/>
    </w:rPr>
  </w:style>
  <w:style w:type="character" w:styleId="CommentReference">
    <w:name w:val="annotation reference"/>
    <w:uiPriority w:val="99"/>
    <w:semiHidden/>
    <w:rsid w:val="00CB7232"/>
    <w:rPr>
      <w:sz w:val="18"/>
      <w:szCs w:val="18"/>
    </w:rPr>
  </w:style>
  <w:style w:type="paragraph" w:styleId="CommentText">
    <w:name w:val="annotation text"/>
    <w:basedOn w:val="Normal"/>
    <w:link w:val="CommentTextChar"/>
    <w:uiPriority w:val="99"/>
    <w:semiHidden/>
    <w:rsid w:val="00CB7232"/>
    <w:pPr>
      <w:spacing w:line="360" w:lineRule="auto"/>
      <w:ind w:firstLine="202"/>
      <w:jc w:val="both"/>
    </w:pPr>
  </w:style>
  <w:style w:type="character" w:customStyle="1" w:styleId="CommentTextChar">
    <w:name w:val="Comment Text Char"/>
    <w:link w:val="CommentText"/>
    <w:uiPriority w:val="99"/>
    <w:semiHidden/>
    <w:rsid w:val="008C4881"/>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CB7232"/>
    <w:rPr>
      <w:b/>
      <w:bCs/>
      <w:sz w:val="20"/>
      <w:szCs w:val="20"/>
    </w:rPr>
  </w:style>
  <w:style w:type="character" w:customStyle="1" w:styleId="CommentSubjectChar">
    <w:name w:val="Comment Subject Char"/>
    <w:link w:val="CommentSubject"/>
    <w:uiPriority w:val="99"/>
    <w:semiHidden/>
    <w:rsid w:val="008C4881"/>
    <w:rPr>
      <w:rFonts w:ascii="Times New Roman" w:hAnsi="Times New Roman"/>
      <w:b/>
      <w:bCs/>
      <w:sz w:val="24"/>
      <w:szCs w:val="24"/>
    </w:rPr>
  </w:style>
  <w:style w:type="paragraph" w:styleId="BalloonText">
    <w:name w:val="Balloon Text"/>
    <w:basedOn w:val="Normal"/>
    <w:link w:val="BalloonTextChar"/>
    <w:uiPriority w:val="99"/>
    <w:semiHidden/>
    <w:rsid w:val="000B4D4C"/>
    <w:pPr>
      <w:ind w:firstLine="202"/>
      <w:jc w:val="both"/>
    </w:pPr>
    <w:rPr>
      <w:rFonts w:ascii="Lucida Grande" w:hAnsi="Lucida Grande"/>
      <w:sz w:val="18"/>
      <w:szCs w:val="18"/>
    </w:rPr>
  </w:style>
  <w:style w:type="character" w:customStyle="1" w:styleId="BalloonTextChar">
    <w:name w:val="Balloon Text Char"/>
    <w:link w:val="BalloonText"/>
    <w:uiPriority w:val="99"/>
    <w:semiHidden/>
    <w:rsid w:val="008C4881"/>
    <w:rPr>
      <w:rFonts w:ascii="Lucida Grande" w:hAnsi="Lucida Grande"/>
      <w:sz w:val="18"/>
      <w:szCs w:val="18"/>
    </w:rPr>
  </w:style>
  <w:style w:type="character" w:styleId="Hyperlink">
    <w:name w:val="Hyperlink"/>
    <w:uiPriority w:val="99"/>
    <w:semiHidden/>
    <w:rsid w:val="00015EA4"/>
    <w:rPr>
      <w:color w:val="0000FF"/>
      <w:u w:val="single"/>
    </w:rPr>
  </w:style>
  <w:style w:type="paragraph" w:customStyle="1" w:styleId="equation0">
    <w:name w:val="equation"/>
    <w:basedOn w:val="Normal"/>
    <w:next w:val="Normal"/>
    <w:uiPriority w:val="99"/>
    <w:rsid w:val="00BF62D6"/>
    <w:pPr>
      <w:keepLines/>
      <w:autoSpaceDE w:val="0"/>
      <w:autoSpaceDN w:val="0"/>
      <w:adjustRightInd w:val="0"/>
      <w:spacing w:before="120" w:after="120"/>
    </w:pPr>
    <w:rPr>
      <w:rFonts w:eastAsia="Times New Roman"/>
      <w:lang w:eastAsia="en-AU"/>
    </w:rPr>
  </w:style>
  <w:style w:type="paragraph" w:styleId="Header">
    <w:name w:val="header"/>
    <w:basedOn w:val="Normal"/>
    <w:link w:val="HeaderChar"/>
    <w:uiPriority w:val="99"/>
    <w:semiHidden/>
    <w:rsid w:val="007C67F9"/>
    <w:pPr>
      <w:tabs>
        <w:tab w:val="center" w:pos="4513"/>
        <w:tab w:val="right" w:pos="9026"/>
      </w:tabs>
      <w:spacing w:line="360" w:lineRule="auto"/>
      <w:ind w:firstLine="202"/>
      <w:jc w:val="both"/>
    </w:pPr>
  </w:style>
  <w:style w:type="character" w:customStyle="1" w:styleId="HeaderChar">
    <w:name w:val="Header Char"/>
    <w:link w:val="Header"/>
    <w:uiPriority w:val="99"/>
    <w:semiHidden/>
    <w:rsid w:val="007C67F9"/>
    <w:rPr>
      <w:rFonts w:ascii="Times New Roman" w:hAnsi="Times New Roman"/>
      <w:sz w:val="24"/>
      <w:szCs w:val="24"/>
      <w:lang w:val="en-US" w:eastAsia="en-US" w:bidi="ar-SA"/>
    </w:rPr>
  </w:style>
  <w:style w:type="paragraph" w:styleId="Footer">
    <w:name w:val="footer"/>
    <w:basedOn w:val="Normal"/>
    <w:link w:val="FooterChar"/>
    <w:uiPriority w:val="99"/>
    <w:rsid w:val="007C67F9"/>
    <w:pPr>
      <w:tabs>
        <w:tab w:val="center" w:pos="4513"/>
        <w:tab w:val="right" w:pos="9026"/>
      </w:tabs>
      <w:spacing w:line="360" w:lineRule="auto"/>
      <w:ind w:firstLine="202"/>
      <w:jc w:val="both"/>
    </w:pPr>
  </w:style>
  <w:style w:type="character" w:customStyle="1" w:styleId="FooterChar">
    <w:name w:val="Footer Char"/>
    <w:link w:val="Footer"/>
    <w:uiPriority w:val="99"/>
    <w:rsid w:val="007C67F9"/>
    <w:rPr>
      <w:rFonts w:ascii="Times New Roman" w:hAnsi="Times New Roman"/>
      <w:sz w:val="24"/>
      <w:szCs w:val="24"/>
      <w:lang w:val="en-US" w:eastAsia="en-US" w:bidi="ar-SA"/>
    </w:rPr>
  </w:style>
  <w:style w:type="paragraph" w:styleId="Caption">
    <w:name w:val="caption"/>
    <w:basedOn w:val="Normal"/>
    <w:next w:val="Normal"/>
    <w:uiPriority w:val="35"/>
    <w:qFormat/>
    <w:rsid w:val="00DA1034"/>
    <w:pPr>
      <w:keepLines/>
      <w:autoSpaceDE w:val="0"/>
      <w:autoSpaceDN w:val="0"/>
      <w:adjustRightInd w:val="0"/>
      <w:spacing w:before="120" w:after="120"/>
    </w:pPr>
    <w:rPr>
      <w:rFonts w:eastAsia="Times New Roman"/>
      <w:lang w:eastAsia="en-AU"/>
    </w:rPr>
  </w:style>
  <w:style w:type="character" w:styleId="FollowedHyperlink">
    <w:name w:val="FollowedHyperlink"/>
    <w:basedOn w:val="DefaultParagraphFont"/>
    <w:uiPriority w:val="99"/>
    <w:semiHidden/>
    <w:unhideWhenUsed/>
    <w:rsid w:val="00967E82"/>
    <w:rPr>
      <w:color w:val="800080" w:themeColor="followedHyperlink"/>
      <w:u w:val="single"/>
    </w:rPr>
  </w:style>
  <w:style w:type="character" w:styleId="PlaceholderText">
    <w:name w:val="Placeholder Text"/>
    <w:basedOn w:val="DefaultParagraphFont"/>
    <w:uiPriority w:val="99"/>
    <w:semiHidden/>
    <w:rsid w:val="008A7152"/>
    <w:rPr>
      <w:color w:val="808080"/>
    </w:rPr>
  </w:style>
  <w:style w:type="paragraph" w:styleId="ListParagraph">
    <w:name w:val="List Paragraph"/>
    <w:basedOn w:val="Normal"/>
    <w:uiPriority w:val="99"/>
    <w:qFormat/>
    <w:rsid w:val="00F4204E"/>
    <w:pPr>
      <w:spacing w:line="360" w:lineRule="auto"/>
      <w:ind w:left="720" w:firstLine="202"/>
      <w:contextualSpacing/>
      <w:jc w:val="both"/>
    </w:pPr>
  </w:style>
  <w:style w:type="character" w:customStyle="1" w:styleId="apple-converted-space">
    <w:name w:val="apple-converted-space"/>
    <w:basedOn w:val="DefaultParagraphFont"/>
    <w:rsid w:val="00CD4545"/>
  </w:style>
  <w:style w:type="paragraph" w:customStyle="1" w:styleId="author0">
    <w:name w:val="author"/>
    <w:basedOn w:val="Normal"/>
    <w:next w:val="Normal"/>
    <w:uiPriority w:val="99"/>
    <w:rsid w:val="003A7E25"/>
    <w:pPr>
      <w:widowControl w:val="0"/>
      <w:autoSpaceDE w:val="0"/>
      <w:autoSpaceDN w:val="0"/>
      <w:adjustRightInd w:val="0"/>
      <w:spacing w:after="120"/>
      <w:jc w:val="center"/>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52863">
      <w:bodyDiv w:val="1"/>
      <w:marLeft w:val="0"/>
      <w:marRight w:val="0"/>
      <w:marTop w:val="0"/>
      <w:marBottom w:val="0"/>
      <w:divBdr>
        <w:top w:val="none" w:sz="0" w:space="0" w:color="auto"/>
        <w:left w:val="none" w:sz="0" w:space="0" w:color="auto"/>
        <w:bottom w:val="none" w:sz="0" w:space="0" w:color="auto"/>
        <w:right w:val="none" w:sz="0" w:space="0" w:color="auto"/>
      </w:divBdr>
    </w:div>
    <w:div w:id="1147818971">
      <w:bodyDiv w:val="1"/>
      <w:marLeft w:val="0"/>
      <w:marRight w:val="0"/>
      <w:marTop w:val="0"/>
      <w:marBottom w:val="0"/>
      <w:divBdr>
        <w:top w:val="none" w:sz="0" w:space="0" w:color="auto"/>
        <w:left w:val="none" w:sz="0" w:space="0" w:color="auto"/>
        <w:bottom w:val="none" w:sz="0" w:space="0" w:color="auto"/>
        <w:right w:val="none" w:sz="0" w:space="0" w:color="auto"/>
      </w:divBdr>
    </w:div>
    <w:div w:id="1305042378">
      <w:bodyDiv w:val="1"/>
      <w:marLeft w:val="0"/>
      <w:marRight w:val="0"/>
      <w:marTop w:val="0"/>
      <w:marBottom w:val="0"/>
      <w:divBdr>
        <w:top w:val="none" w:sz="0" w:space="0" w:color="auto"/>
        <w:left w:val="none" w:sz="0" w:space="0" w:color="auto"/>
        <w:bottom w:val="none" w:sz="0" w:space="0" w:color="auto"/>
        <w:right w:val="none" w:sz="0" w:space="0" w:color="auto"/>
      </w:divBdr>
    </w:div>
    <w:div w:id="1507552543">
      <w:bodyDiv w:val="1"/>
      <w:marLeft w:val="0"/>
      <w:marRight w:val="0"/>
      <w:marTop w:val="0"/>
      <w:marBottom w:val="0"/>
      <w:divBdr>
        <w:top w:val="none" w:sz="0" w:space="0" w:color="auto"/>
        <w:left w:val="none" w:sz="0" w:space="0" w:color="auto"/>
        <w:bottom w:val="none" w:sz="0" w:space="0" w:color="auto"/>
        <w:right w:val="none" w:sz="0" w:space="0" w:color="auto"/>
      </w:divBdr>
    </w:div>
    <w:div w:id="1867476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edu.au/results-and-reports/national-reports.html" TargetMode="External"/><Relationship Id="rId18" Type="http://schemas.openxmlformats.org/officeDocument/2006/relationships/hyperlink" Target="http://www.nap.edu.au/results-and-reports/national-report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Australian_federal_election,_200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yle.peyton@yale.edu"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mailto:justman@bgu.ac.il" TargetMode="External"/><Relationship Id="rId14" Type="http://schemas.openxmlformats.org/officeDocument/2006/relationships/hyperlink" Target="http://www.nap.edu.au/results-and-reports/national-report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bc.net.au/news/2008-02-08/trapped-in-the-aboriginal-reality-show/1036918" TargetMode="External"/><Relationship Id="rId1" Type="http://schemas.openxmlformats.org/officeDocument/2006/relationships/hyperlink" Target="http://www.nap.edu.au/results-and-reports/national-repor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ustman\AppData\Local\Temp\Temp1_word_templates.zip\word_templates\AER_AEJ_Word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oM-File.unimelb.edu.au\336\users\mjustman\Documents\current%20Briefcase\kyle\EER\seam%20v%20nonse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'NT SEAM'!$W$60</c:f>
              <c:strCache>
                <c:ptCount val="1"/>
                <c:pt idx="0">
                  <c:v>Schools targeted by SEAM</c:v>
                </c:pt>
              </c:strCache>
            </c:strRef>
          </c:tx>
          <c:spPr>
            <a:ln w="15875">
              <a:solidFill>
                <a:schemeClr val="tx1"/>
              </a:solidFill>
            </a:ln>
          </c:spPr>
          <c:marker>
            <c:symbol val="diamond"/>
            <c:size val="5"/>
            <c:spPr>
              <a:solidFill>
                <a:schemeClr val="tx1"/>
              </a:solidFill>
              <a:ln>
                <a:solidFill>
                  <a:schemeClr val="tx1"/>
                </a:solidFill>
              </a:ln>
            </c:spPr>
          </c:marker>
          <c:dPt>
            <c:idx val="1"/>
            <c:bubble3D val="0"/>
            <c:spPr>
              <a:ln w="15875">
                <a:solidFill>
                  <a:schemeClr val="tx1"/>
                </a:solidFill>
              </a:ln>
            </c:spPr>
          </c:dPt>
          <c:cat>
            <c:numRef>
              <c:f>'NT SEAM'!$X$59:$AA$59</c:f>
              <c:numCache>
                <c:formatCode>General</c:formatCode>
                <c:ptCount val="4"/>
                <c:pt idx="0">
                  <c:v>2008</c:v>
                </c:pt>
                <c:pt idx="1">
                  <c:v>2009</c:v>
                </c:pt>
                <c:pt idx="2">
                  <c:v>2010</c:v>
                </c:pt>
                <c:pt idx="3">
                  <c:v>2011</c:v>
                </c:pt>
              </c:numCache>
            </c:numRef>
          </c:cat>
          <c:val>
            <c:numRef>
              <c:f>'NT SEAM'!$X$60:$AA$60</c:f>
              <c:numCache>
                <c:formatCode>0%</c:formatCode>
                <c:ptCount val="4"/>
                <c:pt idx="0">
                  <c:v>0.72254511512134401</c:v>
                </c:pt>
                <c:pt idx="1">
                  <c:v>0.80922690763052196</c:v>
                </c:pt>
                <c:pt idx="2">
                  <c:v>0.76310787960771098</c:v>
                </c:pt>
                <c:pt idx="3">
                  <c:v>0.78347742096343898</c:v>
                </c:pt>
              </c:numCache>
            </c:numRef>
          </c:val>
          <c:smooth val="0"/>
        </c:ser>
        <c:ser>
          <c:idx val="1"/>
          <c:order val="1"/>
          <c:tx>
            <c:strRef>
              <c:f>'NT SEAM'!$W$61</c:f>
              <c:strCache>
                <c:ptCount val="1"/>
                <c:pt idx="0">
                  <c:v>Non-targeted schools</c:v>
                </c:pt>
              </c:strCache>
            </c:strRef>
          </c:tx>
          <c:spPr>
            <a:ln w="15875">
              <a:solidFill>
                <a:schemeClr val="tx1"/>
              </a:solidFill>
            </a:ln>
          </c:spPr>
          <c:marker>
            <c:symbol val="circle"/>
            <c:size val="5"/>
            <c:spPr>
              <a:solidFill>
                <a:schemeClr val="bg1">
                  <a:lumMod val="50000"/>
                </a:schemeClr>
              </a:solidFill>
              <a:ln>
                <a:solidFill>
                  <a:schemeClr val="bg1">
                    <a:lumMod val="50000"/>
                  </a:schemeClr>
                </a:solidFill>
              </a:ln>
            </c:spPr>
          </c:marker>
          <c:cat>
            <c:numRef>
              <c:f>'NT SEAM'!$X$59:$AA$59</c:f>
              <c:numCache>
                <c:formatCode>General</c:formatCode>
                <c:ptCount val="4"/>
                <c:pt idx="0">
                  <c:v>2008</c:v>
                </c:pt>
                <c:pt idx="1">
                  <c:v>2009</c:v>
                </c:pt>
                <c:pt idx="2">
                  <c:v>2010</c:v>
                </c:pt>
                <c:pt idx="3">
                  <c:v>2011</c:v>
                </c:pt>
              </c:numCache>
            </c:numRef>
          </c:cat>
          <c:val>
            <c:numRef>
              <c:f>'NT SEAM'!$X$61:$AA$61</c:f>
              <c:numCache>
                <c:formatCode>0%</c:formatCode>
                <c:ptCount val="4"/>
                <c:pt idx="0">
                  <c:v>0.78929099048685003</c:v>
                </c:pt>
                <c:pt idx="1">
                  <c:v>0.84974070824015702</c:v>
                </c:pt>
                <c:pt idx="2">
                  <c:v>0.84072392638036797</c:v>
                </c:pt>
                <c:pt idx="3">
                  <c:v>0.83316882660716696</c:v>
                </c:pt>
              </c:numCache>
            </c:numRef>
          </c:val>
          <c:smooth val="0"/>
        </c:ser>
        <c:dLbls>
          <c:showLegendKey val="0"/>
          <c:showVal val="0"/>
          <c:showCatName val="0"/>
          <c:showSerName val="0"/>
          <c:showPercent val="0"/>
          <c:showBubbleSize val="0"/>
        </c:dLbls>
        <c:marker val="1"/>
        <c:smooth val="0"/>
        <c:axId val="108173568"/>
        <c:axId val="108175744"/>
      </c:lineChart>
      <c:catAx>
        <c:axId val="108173568"/>
        <c:scaling>
          <c:orientation val="minMax"/>
        </c:scaling>
        <c:delete val="0"/>
        <c:axPos val="b"/>
        <c:numFmt formatCode="General" sourceLinked="0"/>
        <c:majorTickMark val="in"/>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he-IL"/>
          </a:p>
        </c:txPr>
        <c:crossAx val="108175744"/>
        <c:crosses val="autoZero"/>
        <c:auto val="1"/>
        <c:lblAlgn val="ctr"/>
        <c:lblOffset val="100"/>
        <c:noMultiLvlLbl val="0"/>
      </c:catAx>
      <c:valAx>
        <c:axId val="108175744"/>
        <c:scaling>
          <c:orientation val="minMax"/>
        </c:scaling>
        <c:delete val="0"/>
        <c:axPos val="l"/>
        <c:majorGridlines/>
        <c:numFmt formatCode="0%" sourceLinked="1"/>
        <c:majorTickMark val="none"/>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he-IL"/>
          </a:p>
        </c:txPr>
        <c:crossAx val="108173568"/>
        <c:crosses val="autoZero"/>
        <c:crossBetween val="between"/>
      </c:valAx>
    </c:plotArea>
    <c:legend>
      <c:legendPos val="b"/>
      <c:layout>
        <c:manualLayout>
          <c:xMode val="edge"/>
          <c:yMode val="edge"/>
          <c:x val="0.154561422944266"/>
          <c:y val="0.88725019418971696"/>
          <c:w val="0.76657701796144595"/>
          <c:h val="8.3717191601049901E-2"/>
        </c:manualLayout>
      </c:layout>
      <c:overlay val="0"/>
      <c:txPr>
        <a:bodyPr/>
        <a:lstStyle/>
        <a:p>
          <a:pPr>
            <a:defRPr sz="1050">
              <a:latin typeface="Times New Roman" panose="02020603050405020304" pitchFamily="18" charset="0"/>
              <a:cs typeface="Times New Roman" panose="02020603050405020304" pitchFamily="18" charset="0"/>
            </a:defRPr>
          </a:pPr>
          <a:endParaRPr lang="he-IL"/>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F5D6-4C37-4B56-A0B7-7AC6785E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AER_AEJ_WordTemplate.dot</Template>
  <TotalTime>0</TotalTime>
  <Pages>30</Pages>
  <Words>7928</Words>
  <Characters>39645</Characters>
  <Application>Microsoft Office Word</Application>
  <DocSecurity>0</DocSecurity>
  <Lines>330</Lines>
  <Paragraphs>94</Paragraphs>
  <ScaleCrop>false</ScaleCrop>
  <HeadingPairs>
    <vt:vector size="2" baseType="variant">
      <vt:variant>
        <vt:lpstr>Title</vt:lpstr>
      </vt:variant>
      <vt:variant>
        <vt:i4>1</vt:i4>
      </vt:variant>
    </vt:vector>
  </HeadingPairs>
  <TitlesOfParts>
    <vt:vector size="1" baseType="lpstr">
      <vt:lpstr/>
    </vt:vector>
  </TitlesOfParts>
  <Company>AEA Publications</Company>
  <LinksUpToDate>false</LinksUpToDate>
  <CharactersWithSpaces>47479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Justman</dc:creator>
  <cp:lastModifiedBy>User</cp:lastModifiedBy>
  <cp:revision>2</cp:revision>
  <cp:lastPrinted>2016-09-05T11:18:00Z</cp:lastPrinted>
  <dcterms:created xsi:type="dcterms:W3CDTF">2016-11-10T13:52:00Z</dcterms:created>
  <dcterms:modified xsi:type="dcterms:W3CDTF">2016-11-10T13:52:00Z</dcterms:modified>
</cp:coreProperties>
</file>